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A4B11" w14:textId="6685F2A5" w:rsidR="003D403D" w:rsidRPr="00221992" w:rsidRDefault="003D403D" w:rsidP="00594E75">
      <w:pPr>
        <w:spacing w:afterLines="50" w:after="200" w:line="240" w:lineRule="auto"/>
        <w:rPr>
          <w:lang w:val="en-GB"/>
        </w:rPr>
      </w:pPr>
      <w:bookmarkStart w:id="0" w:name="_Hlk483397678"/>
    </w:p>
    <w:p w14:paraId="394EC157" w14:textId="77777777" w:rsidR="003D403D" w:rsidRPr="00221992" w:rsidRDefault="003D403D" w:rsidP="00594E75">
      <w:pPr>
        <w:pStyle w:val="a3"/>
        <w:spacing w:before="0" w:afterLines="50" w:after="200" w:line="240" w:lineRule="auto"/>
        <w:rPr>
          <w:lang w:val="en-GB"/>
        </w:rPr>
      </w:pPr>
    </w:p>
    <w:bookmarkEnd w:id="0"/>
    <w:p w14:paraId="1D5BEB51" w14:textId="77777777" w:rsidR="003D403D" w:rsidRPr="00221992" w:rsidRDefault="003D403D" w:rsidP="00594E75">
      <w:pPr>
        <w:spacing w:afterLines="50" w:after="200" w:line="240" w:lineRule="auto"/>
        <w:rPr>
          <w:lang w:val="en-GB"/>
        </w:rPr>
      </w:pPr>
      <w:r w:rsidRPr="00221992">
        <w:rPr>
          <w:noProof/>
          <w:lang w:val="en-GB"/>
        </w:rPr>
        <mc:AlternateContent>
          <mc:Choice Requires="wps">
            <w:drawing>
              <wp:anchor distT="0" distB="0" distL="114300" distR="114300" simplePos="0" relativeHeight="251660288" behindDoc="0" locked="0" layoutInCell="1" allowOverlap="1" wp14:anchorId="46B14BB6" wp14:editId="1AB262EE">
                <wp:simplePos x="0" y="0"/>
                <wp:positionH relativeFrom="page">
                  <wp:posOffset>900332</wp:posOffset>
                </wp:positionH>
                <wp:positionV relativeFrom="page">
                  <wp:posOffset>4529797</wp:posOffset>
                </wp:positionV>
                <wp:extent cx="5067935" cy="1800665"/>
                <wp:effectExtent l="0" t="0" r="12065" b="0"/>
                <wp:wrapSquare wrapText="bothSides"/>
                <wp:docPr id="64" name="Text Box 64"/>
                <wp:cNvGraphicFramePr/>
                <a:graphic xmlns:a="http://schemas.openxmlformats.org/drawingml/2006/main">
                  <a:graphicData uri="http://schemas.microsoft.com/office/word/2010/wordprocessingShape">
                    <wps:wsp>
                      <wps:cNvSpPr txBox="1"/>
                      <wps:spPr>
                        <a:xfrm>
                          <a:off x="0" y="0"/>
                          <a:ext cx="5067935" cy="1800665"/>
                        </a:xfrm>
                        <a:prstGeom prst="rect">
                          <a:avLst/>
                        </a:prstGeom>
                        <a:noFill/>
                        <a:ln>
                          <a:noFill/>
                        </a:ln>
                        <a:effectLst/>
                      </wps:spPr>
                      <wps:txbx>
                        <w:txbxContent>
                          <w:p w14:paraId="2CEA22CF" w14:textId="77777777" w:rsidR="003D403D" w:rsidRPr="00154053" w:rsidRDefault="003D403D" w:rsidP="00CE1F5F">
                            <w:pPr>
                              <w:pStyle w:val="Title2"/>
                              <w:snapToGrid w:val="0"/>
                              <w:spacing w:after="0"/>
                              <w:rPr>
                                <w:sz w:val="36"/>
                                <w:szCs w:val="36"/>
                              </w:rPr>
                            </w:pPr>
                            <w:r w:rsidRPr="00154053">
                              <w:rPr>
                                <w:sz w:val="36"/>
                                <w:szCs w:val="36"/>
                              </w:rPr>
                              <w:t xml:space="preserve">Paper </w:t>
                            </w:r>
                            <w:r>
                              <w:rPr>
                                <w:sz w:val="36"/>
                                <w:szCs w:val="36"/>
                              </w:rPr>
                              <w:t>6</w:t>
                            </w:r>
                            <w:r w:rsidRPr="00154053">
                              <w:rPr>
                                <w:sz w:val="36"/>
                                <w:szCs w:val="36"/>
                              </w:rPr>
                              <w:t xml:space="preserve">—Funding and </w:t>
                            </w:r>
                            <w:r>
                              <w:rPr>
                                <w:sz w:val="36"/>
                                <w:szCs w:val="36"/>
                              </w:rPr>
                              <w:t>P</w:t>
                            </w:r>
                            <w:r w:rsidRPr="00154053">
                              <w:rPr>
                                <w:sz w:val="36"/>
                                <w:szCs w:val="36"/>
                              </w:rPr>
                              <w:t xml:space="preserve">urchasing </w:t>
                            </w:r>
                            <w:r>
                              <w:rPr>
                                <w:sz w:val="36"/>
                                <w:szCs w:val="36"/>
                              </w:rPr>
                              <w:t>D</w:t>
                            </w:r>
                            <w:r w:rsidRPr="00154053">
                              <w:rPr>
                                <w:sz w:val="36"/>
                                <w:szCs w:val="36"/>
                              </w:rPr>
                              <w:t>ecisions and Managing Uncertainty</w:t>
                            </w:r>
                          </w:p>
                          <w:p w14:paraId="2D4631C6" w14:textId="77777777" w:rsidR="003D403D" w:rsidRPr="000D275F" w:rsidRDefault="003D403D" w:rsidP="00CE1F5F">
                            <w:pPr>
                              <w:pStyle w:val="Title2"/>
                              <w:snapToGrid w:val="0"/>
                              <w:spacing w:after="0"/>
                              <w:rPr>
                                <w:rStyle w:val="a9"/>
                                <w:rFonts w:ascii="Calibri Light" w:eastAsiaTheme="minorHAnsi" w:hAnsi="Calibri Light"/>
                              </w:rPr>
                            </w:pPr>
                            <w:r w:rsidRPr="009D7D21">
                              <w:t>University of Technology Sydney</w:t>
                            </w:r>
                            <w:r>
                              <w:br/>
                              <w:t>April</w:t>
                            </w:r>
                            <w:r w:rsidRPr="009D7D21">
                              <w:t xml:space="preserve"> 202</w:t>
                            </w:r>
                            <w:r>
                              <w:t>4</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14BB6" id="_x0000_t202" coordsize="21600,21600" o:spt="202" path="m,l,21600r21600,l21600,xe">
                <v:stroke joinstyle="miter"/>
                <v:path gradientshapeok="t" o:connecttype="rect"/>
              </v:shapetype>
              <v:shape id="Text Box 64" o:spid="_x0000_s1026" type="#_x0000_t202" style="position:absolute;margin-left:70.9pt;margin-top:356.7pt;width:399.05pt;height:14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" filled="f" stroked="f">
                <v:textbox inset="0,0,0">
                  <w:txbxContent>
                    <w:p w14:paraId="2CEA22CF" w14:textId="77777777" w:rsidR="003D403D" w:rsidRPr="00154053" w:rsidRDefault="003D403D" w:rsidP="00CE1F5F">
                      <w:pPr>
                        <w:pStyle w:val="Title2"/>
                        <w:snapToGrid w:val="0"/>
                        <w:spacing w:after="0"/>
                        <w:rPr>
                          <w:sz w:val="36"/>
                          <w:szCs w:val="36"/>
                        </w:rPr>
                      </w:pPr>
                      <w:r w:rsidRPr="00154053">
                        <w:rPr>
                          <w:sz w:val="36"/>
                          <w:szCs w:val="36"/>
                        </w:rPr>
                        <w:t xml:space="preserve">Paper </w:t>
                      </w:r>
                      <w:r>
                        <w:rPr>
                          <w:sz w:val="36"/>
                          <w:szCs w:val="36"/>
                        </w:rPr>
                        <w:t>6</w:t>
                      </w:r>
                      <w:r w:rsidRPr="00154053">
                        <w:rPr>
                          <w:sz w:val="36"/>
                          <w:szCs w:val="36"/>
                        </w:rPr>
                        <w:t xml:space="preserve">—Funding and </w:t>
                      </w:r>
                      <w:r>
                        <w:rPr>
                          <w:sz w:val="36"/>
                          <w:szCs w:val="36"/>
                        </w:rPr>
                        <w:t>P</w:t>
                      </w:r>
                      <w:r w:rsidRPr="00154053">
                        <w:rPr>
                          <w:sz w:val="36"/>
                          <w:szCs w:val="36"/>
                        </w:rPr>
                        <w:t xml:space="preserve">urchasing </w:t>
                      </w:r>
                      <w:r>
                        <w:rPr>
                          <w:sz w:val="36"/>
                          <w:szCs w:val="36"/>
                        </w:rPr>
                        <w:t>D</w:t>
                      </w:r>
                      <w:r w:rsidRPr="00154053">
                        <w:rPr>
                          <w:sz w:val="36"/>
                          <w:szCs w:val="36"/>
                        </w:rPr>
                        <w:t>ecisions and Managing Uncertainty</w:t>
                      </w:r>
                    </w:p>
                    <w:p w14:paraId="2D4631C6" w14:textId="77777777" w:rsidR="003D403D" w:rsidRPr="000D275F" w:rsidRDefault="003D403D" w:rsidP="00CE1F5F">
                      <w:pPr>
                        <w:pStyle w:val="Title2"/>
                        <w:snapToGrid w:val="0"/>
                        <w:spacing w:after="0"/>
                        <w:rPr>
                          <w:rStyle w:val="a9"/>
                          <w:rFonts w:ascii="Calibri Light" w:eastAsiaTheme="minorHAnsi" w:hAnsi="Calibri Light"/>
                        </w:rPr>
                      </w:pPr>
                      <w:r w:rsidRPr="009D7D21">
                        <w:t>University of Technology Sydney</w:t>
                      </w:r>
                      <w:r>
                        <w:br/>
                        <w:t>April</w:t>
                      </w:r>
                      <w:r w:rsidRPr="009D7D21">
                        <w:t xml:space="preserve"> 202</w:t>
                      </w:r>
                      <w:r>
                        <w:t>4</w:t>
                      </w:r>
                    </w:p>
                  </w:txbxContent>
                </v:textbox>
                <w10:wrap type="square" anchorx="page" anchory="page"/>
              </v:shape>
            </w:pict>
          </mc:Fallback>
        </mc:AlternateContent>
      </w:r>
    </w:p>
    <w:p w14:paraId="6A5F4B8E" w14:textId="77777777" w:rsidR="003D403D" w:rsidRPr="00221992" w:rsidRDefault="003D403D" w:rsidP="00594E75">
      <w:pPr>
        <w:spacing w:afterLines="50" w:after="200" w:line="240" w:lineRule="auto"/>
        <w:rPr>
          <w:lang w:val="en-GB"/>
        </w:rPr>
      </w:pPr>
      <w:r w:rsidRPr="00221992">
        <w:rPr>
          <w:noProof/>
          <w:lang w:val="en-GB"/>
        </w:rPr>
        <mc:AlternateContent>
          <mc:Choice Requires="wps">
            <w:drawing>
              <wp:anchor distT="0" distB="0" distL="114300" distR="114300" simplePos="0" relativeHeight="251661312" behindDoc="0" locked="0" layoutInCell="1" allowOverlap="1" wp14:anchorId="488A07D2" wp14:editId="725AE871">
                <wp:simplePos x="0" y="0"/>
                <wp:positionH relativeFrom="margin">
                  <wp:posOffset>-177977</wp:posOffset>
                </wp:positionH>
                <wp:positionV relativeFrom="page">
                  <wp:posOffset>2338705</wp:posOffset>
                </wp:positionV>
                <wp:extent cx="5668010" cy="1901288"/>
                <wp:effectExtent l="0" t="0" r="8890" b="0"/>
                <wp:wrapNone/>
                <wp:docPr id="30" name="Text Box 30"/>
                <wp:cNvGraphicFramePr/>
                <a:graphic xmlns:a="http://schemas.openxmlformats.org/drawingml/2006/main">
                  <a:graphicData uri="http://schemas.microsoft.com/office/word/2010/wordprocessingShape">
                    <wps:wsp>
                      <wps:cNvSpPr txBox="1"/>
                      <wps:spPr>
                        <a:xfrm>
                          <a:off x="0" y="0"/>
                          <a:ext cx="5668010" cy="1901288"/>
                        </a:xfrm>
                        <a:prstGeom prst="rect">
                          <a:avLst/>
                        </a:prstGeom>
                        <a:noFill/>
                        <a:ln>
                          <a:noFill/>
                        </a:ln>
                        <a:effectLst/>
                      </wps:spPr>
                      <wps:txbx>
                        <w:txbxContent>
                          <w:p w14:paraId="31DB9855" w14:textId="77777777" w:rsidR="003D403D" w:rsidRPr="009D7D21" w:rsidRDefault="003D403D" w:rsidP="00CE1F5F">
                            <w:pPr>
                              <w:snapToGrid w:val="0"/>
                              <w:spacing w:after="0" w:line="240" w:lineRule="auto"/>
                              <w:rPr>
                                <w:rStyle w:val="ab"/>
                                <w:rFonts w:eastAsiaTheme="majorEastAsia" w:cs="Calibri Light"/>
                                <w:color w:val="000000" w:themeColor="text1"/>
                                <w:sz w:val="80"/>
                                <w:szCs w:val="80"/>
                              </w:rPr>
                            </w:pPr>
                            <w:r w:rsidRPr="009D7D21">
                              <w:rPr>
                                <w:rStyle w:val="ab"/>
                                <w:rFonts w:eastAsiaTheme="majorEastAsia" w:cs="Calibri Light"/>
                                <w:color w:val="000000" w:themeColor="text1"/>
                                <w:sz w:val="80"/>
                                <w:szCs w:val="80"/>
                              </w:rPr>
                              <w:t>Health</w:t>
                            </w:r>
                            <w:r>
                              <w:rPr>
                                <w:rStyle w:val="ab"/>
                                <w:rFonts w:eastAsiaTheme="majorEastAsia" w:cs="Calibri Light"/>
                                <w:color w:val="000000" w:themeColor="text1"/>
                                <w:sz w:val="80"/>
                                <w:szCs w:val="80"/>
                              </w:rPr>
                              <w:t xml:space="preserve"> </w:t>
                            </w:r>
                            <w:r w:rsidRPr="009D7D21">
                              <w:rPr>
                                <w:rStyle w:val="ab"/>
                                <w:rFonts w:eastAsiaTheme="majorEastAsia" w:cs="Calibri Light"/>
                                <w:color w:val="000000" w:themeColor="text1"/>
                                <w:sz w:val="80"/>
                                <w:szCs w:val="80"/>
                              </w:rPr>
                              <w:t xml:space="preserve">Technology Assessment </w:t>
                            </w:r>
                            <w:r>
                              <w:rPr>
                                <w:rStyle w:val="ab"/>
                                <w:rFonts w:eastAsiaTheme="majorEastAsia" w:cs="Calibri Light"/>
                                <w:color w:val="000000" w:themeColor="text1"/>
                                <w:sz w:val="80"/>
                                <w:szCs w:val="80"/>
                              </w:rPr>
                              <w:t xml:space="preserve">Methods and Policy </w:t>
                            </w:r>
                            <w:r w:rsidRPr="009D7D21">
                              <w:rPr>
                                <w:rStyle w:val="ab"/>
                                <w:rFonts w:eastAsiaTheme="majorEastAsia" w:cs="Calibri Light"/>
                                <w:color w:val="000000" w:themeColor="text1"/>
                                <w:sz w:val="80"/>
                                <w:szCs w:val="80"/>
                              </w:rPr>
                              <w:t>Review</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A07D2" id="Text Box 30" o:spid="_x0000_s1027" type="#_x0000_t202" style="position:absolute;margin-left:-14pt;margin-top:184.15pt;width:446.3pt;height:14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" filled="f" stroked="f">
                <v:textbox inset="0,0,0">
                  <w:txbxContent>
                    <w:p w14:paraId="31DB9855" w14:textId="77777777" w:rsidR="003D403D" w:rsidRPr="009D7D21" w:rsidRDefault="003D403D" w:rsidP="00CE1F5F">
                      <w:pPr>
                        <w:snapToGrid w:val="0"/>
                        <w:spacing w:after="0" w:line="240" w:lineRule="auto"/>
                        <w:rPr>
                          <w:rStyle w:val="ab"/>
                          <w:rFonts w:eastAsiaTheme="majorEastAsia" w:cs="Calibri Light"/>
                          <w:color w:val="000000" w:themeColor="text1"/>
                          <w:sz w:val="80"/>
                          <w:szCs w:val="80"/>
                        </w:rPr>
                      </w:pPr>
                      <w:r w:rsidRPr="009D7D21">
                        <w:rPr>
                          <w:rStyle w:val="ab"/>
                          <w:rFonts w:eastAsiaTheme="majorEastAsia" w:cs="Calibri Light"/>
                          <w:color w:val="000000" w:themeColor="text1"/>
                          <w:sz w:val="80"/>
                          <w:szCs w:val="80"/>
                        </w:rPr>
                        <w:t>Health</w:t>
                      </w:r>
                      <w:r>
                        <w:rPr>
                          <w:rStyle w:val="ab"/>
                          <w:rFonts w:eastAsiaTheme="majorEastAsia" w:cs="Calibri Light"/>
                          <w:color w:val="000000" w:themeColor="text1"/>
                          <w:sz w:val="80"/>
                          <w:szCs w:val="80"/>
                        </w:rPr>
                        <w:t xml:space="preserve"> </w:t>
                      </w:r>
                      <w:r w:rsidRPr="009D7D21">
                        <w:rPr>
                          <w:rStyle w:val="ab"/>
                          <w:rFonts w:eastAsiaTheme="majorEastAsia" w:cs="Calibri Light"/>
                          <w:color w:val="000000" w:themeColor="text1"/>
                          <w:sz w:val="80"/>
                          <w:szCs w:val="80"/>
                        </w:rPr>
                        <w:t xml:space="preserve">Technology Assessment </w:t>
                      </w:r>
                      <w:r>
                        <w:rPr>
                          <w:rStyle w:val="ab"/>
                          <w:rFonts w:eastAsiaTheme="majorEastAsia" w:cs="Calibri Light"/>
                          <w:color w:val="000000" w:themeColor="text1"/>
                          <w:sz w:val="80"/>
                          <w:szCs w:val="80"/>
                        </w:rPr>
                        <w:t xml:space="preserve">Methods and Policy </w:t>
                      </w:r>
                      <w:r w:rsidRPr="009D7D21">
                        <w:rPr>
                          <w:rStyle w:val="ab"/>
                          <w:rFonts w:eastAsiaTheme="majorEastAsia" w:cs="Calibri Light"/>
                          <w:color w:val="000000" w:themeColor="text1"/>
                          <w:sz w:val="80"/>
                          <w:szCs w:val="80"/>
                        </w:rPr>
                        <w:t>Review</w:t>
                      </w:r>
                    </w:p>
                  </w:txbxContent>
                </v:textbox>
                <w10:wrap anchorx="margin" anchory="page"/>
              </v:shape>
            </w:pict>
          </mc:Fallback>
        </mc:AlternateContent>
      </w:r>
      <w:r w:rsidRPr="00221992">
        <w:rPr>
          <w:lang w:val="en-GB"/>
        </w:rPr>
        <w:br w:type="page"/>
      </w:r>
    </w:p>
    <w:p w14:paraId="4294F094" w14:textId="1A6469EC" w:rsidR="00E14F70" w:rsidRPr="00E14F70" w:rsidRDefault="00E14F70" w:rsidP="00594E75">
      <w:pPr>
        <w:pStyle w:val="32"/>
        <w:spacing w:before="0" w:afterLines="50" w:after="200" w:line="240" w:lineRule="auto"/>
        <w:rPr>
          <w:rFonts w:ascii="ＭＳ Ｐ明朝" w:eastAsia="ＭＳ Ｐ明朝" w:hAnsi="ＭＳ Ｐ明朝"/>
          <w:sz w:val="20"/>
          <w:szCs w:val="20"/>
          <w:lang w:val="en-GB" w:eastAsia="ja-JP"/>
        </w:rPr>
      </w:pPr>
      <w:r w:rsidRPr="00E14F70">
        <w:rPr>
          <w:rFonts w:ascii="ＭＳ Ｐ明朝" w:eastAsia="ＭＳ Ｐ明朝" w:hAnsi="ＭＳ Ｐ明朝" w:hint="eastAsia"/>
          <w:sz w:val="20"/>
          <w:szCs w:val="20"/>
          <w:lang w:val="en-GB" w:eastAsia="ja-JP"/>
        </w:rPr>
        <w:lastRenderedPageBreak/>
        <w:t>背景</w:t>
      </w:r>
    </w:p>
    <w:p w14:paraId="66DE350E" w14:textId="77777777" w:rsid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オーストラリア連邦保健・高齢者介護省は、メディシンズ・オーストラリアとの2022-2027年戦略的合意の一環として、医療技術評価政策および手法の見直し（以下「見直し」）を行うことに合意した。この取り組みは、戦略的合意の共有目標を認識するものである。その目標とは、アクセスへの障壁を最小限に抑え、新しい医療技術へのアクセスを促進し、オーストラリアを医療先進国として、また手頃な医療提供における世界のリーダーとしての魅力を維持し、オーストラリアのHTAプロセスが医療技術の急速な進歩に遅れを取らないようにする、というものである。レビューの業務内容に従い、戦略的合意で定められた指針の下、オーストラリアにおける新薬および新医療技術承認プロセスに関する調査（以下、調査）と国家医薬品政策レビューを行い、補助金制度や資金調達プログラムが将来にわたってオーストラリア国民のニーズを満たすよう、具体的なHTA改革案を策定することがレビューの任務である。このレビューの一環として、シドニー工科大学（UTS）の医療経済研究評価センター（CHERE）は、資金調達および購入の枠組みと不確実性の管理に関する国内および国際的なアプローチに関する本ディスカッションペーパーをまとめるHTA専門家グループとして契約されている（ペーパー6、資金調達と購入の決定および不確実性の管理B）。</w:t>
      </w:r>
    </w:p>
    <w:p w14:paraId="069262CC" w14:textId="77777777" w:rsidR="003D403D" w:rsidRPr="00E14F70" w:rsidRDefault="003D403D" w:rsidP="00594E75">
      <w:pPr>
        <w:spacing w:afterLines="50" w:after="200" w:line="240" w:lineRule="auto"/>
        <w:ind w:firstLineChars="100" w:firstLine="224"/>
        <w:rPr>
          <w:rFonts w:ascii="ＭＳ Ｐ明朝" w:hAnsi="ＭＳ Ｐ明朝"/>
          <w:sz w:val="20"/>
          <w:szCs w:val="20"/>
          <w:lang w:val="en-GB" w:eastAsia="ja-JP"/>
        </w:rPr>
      </w:pPr>
    </w:p>
    <w:p w14:paraId="75A64B60" w14:textId="77777777" w:rsidR="00E14F70" w:rsidRPr="00E14F70" w:rsidRDefault="00E14F70" w:rsidP="00594E75">
      <w:pPr>
        <w:pStyle w:val="32"/>
        <w:spacing w:before="0" w:afterLines="50" w:after="200" w:line="240" w:lineRule="auto"/>
        <w:rPr>
          <w:rFonts w:ascii="ＭＳ Ｐ明朝" w:eastAsia="ＭＳ Ｐ明朝" w:hAnsi="ＭＳ Ｐ明朝"/>
          <w:sz w:val="20"/>
          <w:szCs w:val="20"/>
          <w:lang w:val="en-GB" w:eastAsia="ja-JP"/>
        </w:rPr>
      </w:pPr>
      <w:r w:rsidRPr="00E14F70">
        <w:rPr>
          <w:rFonts w:ascii="ＭＳ Ｐ明朝" w:eastAsia="ＭＳ Ｐ明朝" w:hAnsi="ＭＳ Ｐ明朝" w:hint="eastAsia"/>
          <w:sz w:val="20"/>
          <w:szCs w:val="20"/>
          <w:lang w:val="en-GB" w:eastAsia="ja-JP"/>
        </w:rPr>
        <w:t>方法</w:t>
      </w:r>
    </w:p>
    <w:p w14:paraId="46C13252" w14:textId="77777777" w:rsidR="003D403D"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本ディスカッションペーパーは、オーストラリアおよび国際的なHTAの実践に関する最近の国際的な査読付きおよびグレー文献のスコープレビューに基づいている。関連文献は、2010年以降に出版された生物医学および生命科学文献データベースPubMedのオンライン検索により特定された。レビューの対象となったのは、英語による出版のみである。関連のある政策文書、技術報告書、意見書をさらに特定するため、参考委員会との協議により特定された政府当局、HTA機関、業界団体、消費者代表団体のウェブサイトを直接検索した。</w:t>
      </w:r>
    </w:p>
    <w:p w14:paraId="2B6952CB" w14:textId="77777777" w:rsidR="003D403D"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HTA政策および実務の一部は、一般に公開されている文書では十分に説明されていない可能性があるため、この調査では、関連政府当局、HTA機関、業界団体、消費者代表団体など、レビューの利害関係者に対する直接的な協議も限定的に含めた。このディスカッションペーパーの基礎となる研究パラダイムは、主に定性的なものである。結果はテーマごとに提示されている。大まかに言えば、この分析では、1) オーストラリアと国際的なHTAへのアプローチの違い、2) 資金調達と購入の決定に関して、HTAシステム形成の代替アプローチとして特定されたアプローチがオーストラリアでどの程度適用可能か（既存の管轄権と構造的取り決めを考慮して）、3) 代替アプローチがオーストラリアで適用された場合、どの程度異なる結果をもたらす可能性があるか、が説明されている。この調査結果は、保健省および高齢者ケア省に対して、HTAの実施と改革に関する提言を行うことを目的としている。</w:t>
      </w:r>
    </w:p>
    <w:p w14:paraId="07A6944B" w14:textId="7CB44934" w:rsidR="00E14F70" w:rsidRP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lastRenderedPageBreak/>
        <w:t>参照委員会は、レビューにとって興味深い調査の具体的な方向性をいくつか特定した。その中には、以下の国際的な違いが含まれる。</w:t>
      </w:r>
    </w:p>
    <w:p w14:paraId="1C93C2D0" w14:textId="77777777" w:rsidR="00E14F70" w:rsidRPr="003D403D" w:rsidRDefault="00E14F70">
      <w:pPr>
        <w:pStyle w:val="a"/>
        <w:numPr>
          <w:ilvl w:val="0"/>
          <w:numId w:val="22"/>
        </w:numPr>
        <w:spacing w:before="0" w:afterLines="50" w:after="200" w:line="240" w:lineRule="auto"/>
        <w:rPr>
          <w:rFonts w:ascii="ＭＳ Ｐ明朝" w:eastAsia="ＭＳ Ｐ明朝" w:hAnsi="ＭＳ Ｐ明朝"/>
          <w:sz w:val="20"/>
          <w:szCs w:val="20"/>
          <w:lang w:val="en-GB" w:eastAsia="ja-JP"/>
        </w:rPr>
      </w:pPr>
      <w:r w:rsidRPr="003D403D">
        <w:rPr>
          <w:rFonts w:ascii="ＭＳ Ｐ明朝" w:eastAsia="ＭＳ Ｐ明朝" w:hAnsi="ＭＳ Ｐ明朝" w:hint="eastAsia"/>
          <w:sz w:val="20"/>
          <w:szCs w:val="20"/>
          <w:lang w:val="en-GB" w:eastAsia="ja-JP"/>
        </w:rPr>
        <w:t>希少疾患や「従来の」HTA基準を満たさないその他の治療に関する申請の資金調達経路と受け入れ可能なエビデンスレベル</w:t>
      </w:r>
    </w:p>
    <w:p w14:paraId="6BA55690" w14:textId="77777777" w:rsidR="00E14F70" w:rsidRPr="003D403D" w:rsidRDefault="00E14F70">
      <w:pPr>
        <w:pStyle w:val="a"/>
        <w:numPr>
          <w:ilvl w:val="0"/>
          <w:numId w:val="22"/>
        </w:numPr>
        <w:spacing w:before="0" w:afterLines="50" w:after="200" w:line="240" w:lineRule="auto"/>
        <w:rPr>
          <w:rFonts w:ascii="ＭＳ Ｐ明朝" w:eastAsia="ＭＳ Ｐ明朝" w:hAnsi="ＭＳ Ｐ明朝"/>
          <w:sz w:val="20"/>
          <w:szCs w:val="20"/>
          <w:lang w:val="en-GB" w:eastAsia="ja-JP"/>
        </w:rPr>
      </w:pPr>
      <w:r w:rsidRPr="003D403D">
        <w:rPr>
          <w:rFonts w:ascii="ＭＳ Ｐ明朝" w:eastAsia="ＭＳ Ｐ明朝" w:hAnsi="ＭＳ Ｐ明朝" w:hint="eastAsia"/>
          <w:sz w:val="20"/>
          <w:szCs w:val="20"/>
          <w:lang w:val="en-GB" w:eastAsia="ja-JP"/>
        </w:rPr>
        <w:t>不確実性の管理</w:t>
      </w:r>
    </w:p>
    <w:p w14:paraId="40F6CA93" w14:textId="77777777" w:rsidR="00E14F70" w:rsidRPr="003D403D" w:rsidRDefault="00E14F70">
      <w:pPr>
        <w:pStyle w:val="a"/>
        <w:numPr>
          <w:ilvl w:val="0"/>
          <w:numId w:val="22"/>
        </w:numPr>
        <w:spacing w:before="0" w:afterLines="50" w:after="200" w:line="240" w:lineRule="auto"/>
        <w:rPr>
          <w:rFonts w:ascii="ＭＳ Ｐ明朝" w:eastAsia="ＭＳ Ｐ明朝" w:hAnsi="ＭＳ Ｐ明朝"/>
          <w:sz w:val="20"/>
          <w:szCs w:val="20"/>
          <w:lang w:val="en-GB" w:eastAsia="ja-JP"/>
        </w:rPr>
      </w:pPr>
      <w:r w:rsidRPr="003D403D">
        <w:rPr>
          <w:rFonts w:ascii="ＭＳ Ｐ明朝" w:eastAsia="ＭＳ Ｐ明朝" w:hAnsi="ＭＳ Ｐ明朝" w:hint="eastAsia"/>
          <w:sz w:val="20"/>
          <w:szCs w:val="20"/>
          <w:lang w:val="en-GB" w:eastAsia="ja-JP"/>
        </w:rPr>
        <w:t>HTAプロセスにおける消費者の参加</w:t>
      </w:r>
    </w:p>
    <w:p w14:paraId="56C63168" w14:textId="77777777" w:rsidR="00E14F70" w:rsidRPr="003D403D" w:rsidRDefault="00E14F70">
      <w:pPr>
        <w:pStyle w:val="a"/>
        <w:numPr>
          <w:ilvl w:val="0"/>
          <w:numId w:val="22"/>
        </w:numPr>
        <w:spacing w:before="0" w:afterLines="50" w:after="200" w:line="240" w:lineRule="auto"/>
        <w:rPr>
          <w:rFonts w:ascii="ＭＳ Ｐ明朝" w:eastAsia="ＭＳ Ｐ明朝" w:hAnsi="ＭＳ Ｐ明朝"/>
          <w:sz w:val="20"/>
          <w:szCs w:val="20"/>
          <w:lang w:val="en-GB" w:eastAsia="ja-JP"/>
        </w:rPr>
      </w:pPr>
      <w:r w:rsidRPr="003D403D">
        <w:rPr>
          <w:rFonts w:ascii="ＭＳ Ｐ明朝" w:eastAsia="ＭＳ Ｐ明朝" w:hAnsi="ＭＳ Ｐ明朝" w:hint="eastAsia"/>
          <w:sz w:val="20"/>
          <w:szCs w:val="20"/>
          <w:lang w:val="en-GB" w:eastAsia="ja-JP"/>
        </w:rPr>
        <w:t>拡大された効用基準</w:t>
      </w:r>
    </w:p>
    <w:p w14:paraId="0C6251FA" w14:textId="77777777" w:rsidR="00E14F70" w:rsidRPr="003D403D" w:rsidRDefault="00E14F70">
      <w:pPr>
        <w:pStyle w:val="a"/>
        <w:numPr>
          <w:ilvl w:val="0"/>
          <w:numId w:val="22"/>
        </w:numPr>
        <w:spacing w:before="0" w:afterLines="50" w:after="200" w:line="240" w:lineRule="auto"/>
        <w:rPr>
          <w:rFonts w:ascii="ＭＳ Ｐ明朝" w:eastAsia="ＭＳ Ｐ明朝" w:hAnsi="ＭＳ Ｐ明朝"/>
          <w:sz w:val="20"/>
          <w:szCs w:val="20"/>
          <w:lang w:val="en-GB" w:eastAsia="ja-JP"/>
        </w:rPr>
      </w:pPr>
      <w:r w:rsidRPr="003D403D">
        <w:rPr>
          <w:rFonts w:ascii="ＭＳ Ｐ明朝" w:eastAsia="ＭＳ Ｐ明朝" w:hAnsi="ＭＳ Ｐ明朝" w:hint="eastAsia"/>
          <w:sz w:val="20"/>
          <w:szCs w:val="20"/>
          <w:lang w:val="en-GB" w:eastAsia="ja-JP"/>
        </w:rPr>
        <w:t>特定されたサブ集団間の公平性を改善するためのアプローチ</w:t>
      </w:r>
    </w:p>
    <w:p w14:paraId="32EFAC94" w14:textId="77777777" w:rsidR="00E14F70" w:rsidRPr="003D403D" w:rsidRDefault="00E14F70">
      <w:pPr>
        <w:pStyle w:val="a"/>
        <w:numPr>
          <w:ilvl w:val="0"/>
          <w:numId w:val="22"/>
        </w:numPr>
        <w:spacing w:before="0" w:afterLines="50" w:after="200" w:line="240" w:lineRule="auto"/>
        <w:rPr>
          <w:rFonts w:ascii="ＭＳ Ｐ明朝" w:eastAsia="ＭＳ Ｐ明朝" w:hAnsi="ＭＳ Ｐ明朝"/>
          <w:sz w:val="20"/>
          <w:szCs w:val="20"/>
          <w:lang w:val="en-GB" w:eastAsia="ja-JP"/>
        </w:rPr>
      </w:pPr>
      <w:r w:rsidRPr="003D403D">
        <w:rPr>
          <w:rFonts w:ascii="ＭＳ Ｐ明朝" w:eastAsia="ＭＳ Ｐ明朝" w:hAnsi="ＭＳ Ｐ明朝" w:hint="eastAsia"/>
          <w:sz w:val="20"/>
          <w:szCs w:val="20"/>
          <w:lang w:val="en-GB" w:eastAsia="ja-JP"/>
        </w:rPr>
        <w:t>主な調査結果</w:t>
      </w:r>
    </w:p>
    <w:p w14:paraId="2FBC6B8E" w14:textId="77777777" w:rsidR="00E14F70" w:rsidRPr="003D403D" w:rsidRDefault="00E14F70">
      <w:pPr>
        <w:pStyle w:val="a"/>
        <w:numPr>
          <w:ilvl w:val="0"/>
          <w:numId w:val="22"/>
        </w:numPr>
        <w:spacing w:before="0" w:afterLines="50" w:after="200" w:line="240" w:lineRule="auto"/>
        <w:rPr>
          <w:rFonts w:ascii="ＭＳ Ｐ明朝" w:eastAsia="ＭＳ Ｐ明朝" w:hAnsi="ＭＳ Ｐ明朝"/>
          <w:sz w:val="20"/>
          <w:szCs w:val="20"/>
          <w:lang w:val="en-GB" w:eastAsia="ja-JP"/>
        </w:rPr>
      </w:pPr>
      <w:r w:rsidRPr="003D403D">
        <w:rPr>
          <w:rFonts w:ascii="ＭＳ Ｐ明朝" w:eastAsia="ＭＳ Ｐ明朝" w:hAnsi="ＭＳ Ｐ明朝" w:hint="eastAsia"/>
          <w:sz w:val="20"/>
          <w:szCs w:val="20"/>
          <w:lang w:val="en-GB" w:eastAsia="ja-JP"/>
        </w:rPr>
        <w:t>新しい医療技術に対する資金調達と購入アプローチ</w:t>
      </w:r>
    </w:p>
    <w:p w14:paraId="52DB25D3" w14:textId="77777777" w:rsidR="003D403D" w:rsidRDefault="003D403D" w:rsidP="00594E75">
      <w:pPr>
        <w:spacing w:afterLines="50" w:after="200" w:line="240" w:lineRule="auto"/>
        <w:ind w:firstLineChars="100" w:firstLine="224"/>
        <w:rPr>
          <w:rFonts w:ascii="ＭＳ Ｐ明朝" w:hAnsi="ＭＳ Ｐ明朝"/>
          <w:sz w:val="20"/>
          <w:szCs w:val="20"/>
          <w:lang w:eastAsia="ja-JP"/>
        </w:rPr>
      </w:pPr>
    </w:p>
    <w:p w14:paraId="705D2238" w14:textId="78438F3E" w:rsidR="003D403D" w:rsidRPr="003D403D" w:rsidRDefault="003D403D" w:rsidP="00594E75">
      <w:pPr>
        <w:pStyle w:val="32"/>
        <w:spacing w:before="0" w:afterLines="50" w:after="200" w:line="240" w:lineRule="auto"/>
        <w:rPr>
          <w:rFonts w:ascii="ＭＳ Ｐ明朝" w:hAnsi="ＭＳ Ｐ明朝"/>
          <w:sz w:val="20"/>
          <w:szCs w:val="20"/>
          <w:lang w:eastAsia="ja-JP"/>
        </w:rPr>
      </w:pPr>
      <w:r w:rsidRPr="003D403D">
        <w:rPr>
          <w:rFonts w:ascii="ＭＳ Ｐ明朝" w:hAnsi="ＭＳ Ｐ明朝" w:hint="eastAsia"/>
          <w:sz w:val="20"/>
          <w:szCs w:val="20"/>
          <w:lang w:eastAsia="ja-JP"/>
        </w:rPr>
        <w:t>主な調査結果</w:t>
      </w:r>
    </w:p>
    <w:p w14:paraId="66F7FEE8" w14:textId="3FF6C07F" w:rsidR="003D403D" w:rsidRPr="003D403D" w:rsidRDefault="003D403D" w:rsidP="00594E75">
      <w:pPr>
        <w:pStyle w:val="32"/>
        <w:spacing w:before="0" w:afterLines="50" w:after="200" w:line="240" w:lineRule="auto"/>
        <w:rPr>
          <w:rFonts w:ascii="ＭＳ Ｐ明朝" w:hAnsi="ＭＳ Ｐ明朝"/>
          <w:sz w:val="20"/>
          <w:szCs w:val="20"/>
          <w:lang w:eastAsia="ja-JP"/>
        </w:rPr>
      </w:pPr>
      <w:r w:rsidRPr="003D403D">
        <w:rPr>
          <w:rFonts w:ascii="ＭＳ Ｐ明朝" w:hAnsi="ＭＳ Ｐ明朝" w:hint="eastAsia"/>
          <w:sz w:val="20"/>
          <w:szCs w:val="20"/>
          <w:lang w:eastAsia="ja-JP"/>
        </w:rPr>
        <w:t>新しい医療技術に対する資金調達と購入アプローチ</w:t>
      </w:r>
    </w:p>
    <w:p w14:paraId="3CFB2AD7" w14:textId="77777777" w:rsidR="003D403D" w:rsidRPr="003D403D" w:rsidRDefault="00E14F70">
      <w:pPr>
        <w:pStyle w:val="a"/>
        <w:numPr>
          <w:ilvl w:val="0"/>
          <w:numId w:val="23"/>
        </w:numPr>
        <w:spacing w:before="0" w:afterLines="50" w:after="200" w:line="240" w:lineRule="auto"/>
        <w:rPr>
          <w:rFonts w:ascii="ＭＳ Ｐ明朝" w:hAnsi="ＭＳ Ｐ明朝"/>
          <w:sz w:val="20"/>
          <w:szCs w:val="20"/>
          <w:lang w:val="en-GB" w:eastAsia="ja-JP"/>
        </w:rPr>
      </w:pPr>
      <w:r w:rsidRPr="003D403D">
        <w:rPr>
          <w:rFonts w:ascii="ＭＳ Ｐ明朝" w:eastAsia="ＭＳ Ｐ明朝" w:hAnsi="ＭＳ Ｐ明朝" w:hint="eastAsia"/>
          <w:sz w:val="20"/>
          <w:szCs w:val="20"/>
          <w:lang w:val="en-GB" w:eastAsia="ja-JP"/>
        </w:rPr>
        <w:t>オーストラリアのHTA資金調達および購入決定に関するアプローチは、いくつかの同等の国々におけるプロセスと類似している。</w:t>
      </w:r>
    </w:p>
    <w:p w14:paraId="5A1FD92C" w14:textId="77777777" w:rsidR="003D403D" w:rsidRPr="003D403D" w:rsidRDefault="00E14F70">
      <w:pPr>
        <w:pStyle w:val="a"/>
        <w:numPr>
          <w:ilvl w:val="0"/>
          <w:numId w:val="23"/>
        </w:numPr>
        <w:spacing w:before="0" w:afterLines="50" w:after="200" w:line="240" w:lineRule="auto"/>
        <w:rPr>
          <w:rFonts w:ascii="ＭＳ Ｐ明朝" w:hAnsi="ＭＳ Ｐ明朝"/>
          <w:sz w:val="20"/>
          <w:szCs w:val="20"/>
          <w:lang w:val="en-GB" w:eastAsia="ja-JP"/>
        </w:rPr>
      </w:pPr>
      <w:r w:rsidRPr="003D403D">
        <w:rPr>
          <w:rFonts w:ascii="ＭＳ Ｐ明朝" w:eastAsia="ＭＳ Ｐ明朝" w:hAnsi="ＭＳ Ｐ明朝" w:hint="eastAsia"/>
          <w:sz w:val="20"/>
          <w:szCs w:val="20"/>
          <w:lang w:val="en-GB" w:eastAsia="ja-JP"/>
        </w:rPr>
        <w:t>オーストラリアのHTA申請プロセスは、「再提出による交渉」アプローチで構成されている（英国/ウェールズに類似）。いくつかの国では、特定の目的を持つ価格交渉機関を通じて明確な交渉が行われている（ドイツ、カナダ、フランス、韓国）。</w:t>
      </w:r>
    </w:p>
    <w:p w14:paraId="06DB0C8B" w14:textId="77777777" w:rsidR="003D403D" w:rsidRPr="003D403D" w:rsidRDefault="00E14F70">
      <w:pPr>
        <w:pStyle w:val="a"/>
        <w:numPr>
          <w:ilvl w:val="0"/>
          <w:numId w:val="23"/>
        </w:numPr>
        <w:spacing w:before="0" w:afterLines="50" w:after="200" w:line="240" w:lineRule="auto"/>
        <w:rPr>
          <w:rFonts w:ascii="ＭＳ Ｐ明朝" w:hAnsi="ＭＳ Ｐ明朝"/>
          <w:sz w:val="20"/>
          <w:szCs w:val="20"/>
          <w:lang w:val="en-GB" w:eastAsia="ja-JP"/>
        </w:rPr>
      </w:pPr>
      <w:r w:rsidRPr="003D403D">
        <w:rPr>
          <w:rFonts w:ascii="ＭＳ Ｐ明朝" w:eastAsia="ＭＳ Ｐ明朝" w:hAnsi="ＭＳ Ｐ明朝" w:hint="eastAsia"/>
          <w:sz w:val="20"/>
          <w:szCs w:val="20"/>
          <w:lang w:val="en-GB" w:eastAsia="ja-JP"/>
        </w:rPr>
        <w:t>ドイツと日本は、費用対効果の評価前に新薬の上市・償還を認めるという点で独特である。HTAプロセスの結果を受けて、価格が引き下げられる可能性がある。</w:t>
      </w:r>
    </w:p>
    <w:p w14:paraId="3E36DB47" w14:textId="77777777" w:rsidR="00594E75" w:rsidRDefault="00594E75" w:rsidP="00594E75">
      <w:pPr>
        <w:spacing w:afterLines="50" w:after="200" w:line="240" w:lineRule="auto"/>
        <w:ind w:firstLineChars="100" w:firstLine="224"/>
        <w:rPr>
          <w:rFonts w:ascii="ＭＳ Ｐ明朝" w:hAnsi="ＭＳ Ｐ明朝"/>
          <w:sz w:val="20"/>
          <w:szCs w:val="20"/>
          <w:lang w:val="en-GB" w:eastAsia="ja-JP"/>
        </w:rPr>
      </w:pPr>
      <w:r w:rsidRPr="00594E75">
        <w:rPr>
          <w:rFonts w:ascii="ＭＳ Ｐ明朝" w:hAnsi="ＭＳ Ｐ明朝" w:hint="eastAsia"/>
          <w:sz w:val="20"/>
          <w:szCs w:val="20"/>
          <w:lang w:val="en-GB" w:eastAsia="ja-JP"/>
        </w:rPr>
        <w:t>HTA機関の範囲、役割、権限は国によって異なる。多くの国では、国レベルでHTA活動を行う複数の機関があり、その役割は様々である。地域レベルや医療提供者レベルの範囲を持つHTA機関には、カナダ、ドイツ、イタリア、スペイン、スウェーデンなどがある。HTAの対象となる技術にも大きな違いがある。フィンランド医薬品庁（FIMEA）は入院患者向けの医薬品のみを対象にHTAを実施しているが、スウェーデンの歯科・医薬品給付庁（</w:t>
      </w:r>
      <w:proofErr w:type="spellStart"/>
      <w:r w:rsidRPr="00594E75">
        <w:rPr>
          <w:rFonts w:ascii="ＭＳ Ｐ明朝" w:hAnsi="ＭＳ Ｐ明朝" w:hint="eastAsia"/>
          <w:sz w:val="20"/>
          <w:szCs w:val="20"/>
          <w:lang w:val="en-GB" w:eastAsia="ja-JP"/>
        </w:rPr>
        <w:t>Tandvårds</w:t>
      </w:r>
      <w:proofErr w:type="spellEnd"/>
      <w:r w:rsidRPr="00594E75">
        <w:rPr>
          <w:rFonts w:ascii="ＭＳ Ｐ明朝" w:hAnsi="ＭＳ Ｐ明朝" w:hint="eastAsia"/>
          <w:sz w:val="20"/>
          <w:szCs w:val="20"/>
          <w:lang w:val="en-GB" w:eastAsia="ja-JP"/>
        </w:rPr>
        <w:t xml:space="preserve">- </w:t>
      </w:r>
      <w:proofErr w:type="spellStart"/>
      <w:r w:rsidRPr="00594E75">
        <w:rPr>
          <w:rFonts w:ascii="ＭＳ Ｐ明朝" w:hAnsi="ＭＳ Ｐ明朝" w:hint="eastAsia"/>
          <w:sz w:val="20"/>
          <w:szCs w:val="20"/>
          <w:lang w:val="en-GB" w:eastAsia="ja-JP"/>
        </w:rPr>
        <w:t>och</w:t>
      </w:r>
      <w:proofErr w:type="spellEnd"/>
      <w:r w:rsidRPr="00594E75">
        <w:rPr>
          <w:rFonts w:ascii="ＭＳ Ｐ明朝" w:hAnsi="ＭＳ Ｐ明朝" w:hint="eastAsia"/>
          <w:sz w:val="20"/>
          <w:szCs w:val="20"/>
          <w:lang w:val="en-GB" w:eastAsia="ja-JP"/>
        </w:rPr>
        <w:t xml:space="preserve"> </w:t>
      </w:r>
      <w:proofErr w:type="spellStart"/>
      <w:r w:rsidRPr="00594E75">
        <w:rPr>
          <w:rFonts w:ascii="ＭＳ Ｐ明朝" w:hAnsi="ＭＳ Ｐ明朝" w:hint="eastAsia"/>
          <w:sz w:val="20"/>
          <w:szCs w:val="20"/>
          <w:lang w:val="en-GB" w:eastAsia="ja-JP"/>
        </w:rPr>
        <w:t>läkemedelsförmånsverket</w:t>
      </w:r>
      <w:proofErr w:type="spellEnd"/>
      <w:r w:rsidRPr="00594E75">
        <w:rPr>
          <w:rFonts w:ascii="ＭＳ Ｐ明朝" w:hAnsi="ＭＳ Ｐ明朝" w:hint="eastAsia"/>
          <w:sz w:val="20"/>
          <w:szCs w:val="20"/>
          <w:lang w:val="en-GB" w:eastAsia="ja-JP"/>
        </w:rPr>
        <w:t>、TLV）は主に外来患者向けの医薬品を評価しており、入院患者向けの医薬品は州レベルで評価されている。新しい技術に関するエビデンスは、臨床上の利益や費用対効果（例：オーストラリア、カナダ、イングランド/ウェールズ）、臨床上の利益のみ（例：ドイツ、フランス）、臨床上の利益と予算への影響（例：イタリア、スペイン）など、さまざまな方法で評価され、数値化される。</w:t>
      </w:r>
    </w:p>
    <w:p w14:paraId="74846E12" w14:textId="77777777" w:rsidR="00594E75" w:rsidRDefault="00594E75" w:rsidP="00594E75">
      <w:pPr>
        <w:spacing w:afterLines="50" w:after="200" w:line="240" w:lineRule="auto"/>
        <w:ind w:firstLineChars="100" w:firstLine="224"/>
        <w:rPr>
          <w:rFonts w:ascii="ＭＳ Ｐ明朝" w:hAnsi="ＭＳ Ｐ明朝"/>
          <w:sz w:val="20"/>
          <w:szCs w:val="20"/>
          <w:lang w:val="en-GB" w:eastAsia="ja-JP"/>
        </w:rPr>
      </w:pPr>
      <w:r w:rsidRPr="00594E75">
        <w:rPr>
          <w:rFonts w:ascii="ＭＳ Ｐ明朝" w:hAnsi="ＭＳ Ｐ明朝" w:hint="eastAsia"/>
          <w:sz w:val="20"/>
          <w:szCs w:val="20"/>
          <w:lang w:val="en-GB" w:eastAsia="ja-JP"/>
        </w:rPr>
        <w:t>HTAの推奨が肯定的な場合、そのほとんどは法的拘束力を持たないものであり、必ずしもその技術に資金が投入される決定につながるわけではない。証拠によると、肯定的な推奨が償還交渉に与える影響</w:t>
      </w:r>
      <w:r w:rsidRPr="00594E75">
        <w:rPr>
          <w:rFonts w:ascii="ＭＳ Ｐ明朝" w:hAnsi="ＭＳ Ｐ明朝" w:hint="eastAsia"/>
          <w:sz w:val="20"/>
          <w:szCs w:val="20"/>
          <w:lang w:val="en-GB" w:eastAsia="ja-JP"/>
        </w:rPr>
        <w:lastRenderedPageBreak/>
        <w:t>は、国ごと、あるいは国の中でも様々である。それでも、HTAの結果は、たとえ法的拘束力を持たないものであっても、いくつかの国では最終的な償還決定の中心的な要素となっている。HTA機関が医療技術の推奨を拒否した場合、再提出や異議申し立てのためのさまざまな経路が利用できる。一般的に、拒否された後、スポンサーは懸念事項に対処し、再提出の準備を行うことがある。</w:t>
      </w:r>
    </w:p>
    <w:p w14:paraId="15852947" w14:textId="77777777" w:rsidR="00594E75" w:rsidRDefault="00594E75" w:rsidP="00594E75">
      <w:pPr>
        <w:spacing w:afterLines="50" w:after="200" w:line="240" w:lineRule="auto"/>
        <w:ind w:firstLineChars="100" w:firstLine="224"/>
        <w:rPr>
          <w:rFonts w:ascii="ＭＳ Ｐ明朝" w:hAnsi="ＭＳ Ｐ明朝"/>
          <w:sz w:val="20"/>
          <w:szCs w:val="20"/>
          <w:lang w:val="en-GB" w:eastAsia="ja-JP"/>
        </w:rPr>
      </w:pPr>
      <w:r w:rsidRPr="00594E75">
        <w:rPr>
          <w:rFonts w:ascii="ＭＳ Ｐ明朝" w:hAnsi="ＭＳ Ｐ明朝" w:hint="eastAsia"/>
          <w:sz w:val="20"/>
          <w:szCs w:val="20"/>
          <w:lang w:val="en-GB" w:eastAsia="ja-JP"/>
        </w:rPr>
        <w:t>価格交渉は通常非公開で行われ、英国の国立医療技術評価機構（NICE）やオーストラリアの医薬品給付諮問委員会（PBAC）などのHTAシステムに暗黙的に含まれることがある。これらの機関は、厳密には価格交渉を行わないが、提案された価格が許容できる費用対効果であるかどうかを判断する。そうでない場合、これらのシステムでは申請者がより費用対効果の高い価格を再提示することが求められる（すなわち、「再提出による交渉」）。また、交渉は、目的を持った交渉機関（ドイツやカナダなど）やその他の政府機関（スウェーデン歯科・医薬品給付機関など）によって明示的に行われることもある。</w:t>
      </w:r>
    </w:p>
    <w:p w14:paraId="3481DDEC" w14:textId="77777777" w:rsidR="00594E75" w:rsidRDefault="00594E75" w:rsidP="00594E75">
      <w:pPr>
        <w:spacing w:afterLines="50" w:after="200" w:line="240" w:lineRule="auto"/>
        <w:rPr>
          <w:rFonts w:ascii="ＭＳ Ｐ明朝" w:hAnsi="ＭＳ Ｐ明朝"/>
          <w:sz w:val="20"/>
          <w:szCs w:val="20"/>
          <w:lang w:val="en-GB" w:eastAsia="ja-JP"/>
        </w:rPr>
      </w:pPr>
    </w:p>
    <w:p w14:paraId="183C56AB" w14:textId="308D36F3" w:rsidR="00E14F70" w:rsidRPr="00E14F70" w:rsidRDefault="00E14F70" w:rsidP="00594E75">
      <w:pPr>
        <w:pStyle w:val="32"/>
        <w:spacing w:before="0" w:afterLines="50" w:after="200" w:line="240" w:lineRule="auto"/>
        <w:rPr>
          <w:rFonts w:ascii="ＭＳ Ｐ明朝" w:eastAsia="ＭＳ Ｐ明朝" w:hAnsi="ＭＳ Ｐ明朝"/>
          <w:sz w:val="20"/>
          <w:szCs w:val="20"/>
          <w:lang w:val="en-GB" w:eastAsia="ja-JP"/>
        </w:rPr>
      </w:pPr>
      <w:r w:rsidRPr="00E14F70">
        <w:rPr>
          <w:rFonts w:ascii="ＭＳ Ｐ明朝" w:eastAsia="ＭＳ Ｐ明朝" w:hAnsi="ＭＳ Ｐ明朝" w:hint="eastAsia"/>
          <w:sz w:val="20"/>
          <w:szCs w:val="20"/>
          <w:lang w:val="en-GB" w:eastAsia="ja-JP"/>
        </w:rPr>
        <w:t>相互依存技術</w:t>
      </w:r>
    </w:p>
    <w:p w14:paraId="5DD58C80" w14:textId="77777777" w:rsidR="00E14F70" w:rsidRPr="00594E75" w:rsidRDefault="00E14F70">
      <w:pPr>
        <w:pStyle w:val="a"/>
        <w:numPr>
          <w:ilvl w:val="0"/>
          <w:numId w:val="24"/>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相互依存型医療技術のグローバル市場は急速に成長している。</w:t>
      </w:r>
    </w:p>
    <w:p w14:paraId="647BF50C" w14:textId="77777777" w:rsidR="00E14F70" w:rsidRPr="00594E75" w:rsidRDefault="00E14F70">
      <w:pPr>
        <w:pStyle w:val="a"/>
        <w:numPr>
          <w:ilvl w:val="0"/>
          <w:numId w:val="24"/>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相互依存技術は複雑さが様々である。単一検査のみの場合は単純なものもあるが、複数の検査が利用可能な場合は、検査の感度・特異度や検査の順番によって費用対効果が大きく異なる可能性がある。</w:t>
      </w:r>
    </w:p>
    <w:p w14:paraId="0274B271" w14:textId="77777777" w:rsidR="00E14F70" w:rsidRPr="00594E75" w:rsidRDefault="00E14F70">
      <w:pPr>
        <w:pStyle w:val="a"/>
        <w:numPr>
          <w:ilvl w:val="0"/>
          <w:numId w:val="24"/>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併用される医薬品と検査の評価と資金提供は、国際的に好ましいアプローチであると考えられている。</w:t>
      </w:r>
    </w:p>
    <w:p w14:paraId="51EE4DCD" w14:textId="77777777" w:rsidR="00E14F70" w:rsidRP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オーストラリアでは、併用診断技術は2つの諮問委員会の管轄下にある。診断検査の有効性と費用対効果を評価するMedical Services Advisory Committee（MSAC）と、医薬品を評価するPBACである。併用診断技術は2つのプロセスで評価される。</w:t>
      </w:r>
    </w:p>
    <w:p w14:paraId="26D46D04" w14:textId="77777777" w:rsidR="00E14F70" w:rsidRPr="00594E75" w:rsidRDefault="00E14F70">
      <w:pPr>
        <w:pStyle w:val="a"/>
        <w:numPr>
          <w:ilvl w:val="0"/>
          <w:numId w:val="25"/>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統合型共同依存提出— 組み合わせた技術に対する提出書類を準備し、MSACとPBACが共同で審査する。</w:t>
      </w:r>
    </w:p>
    <w:p w14:paraId="3E66FDFB" w14:textId="77777777" w:rsidR="00E14F70" w:rsidRPr="00594E75" w:rsidRDefault="00E14F70">
      <w:pPr>
        <w:pStyle w:val="a"/>
        <w:numPr>
          <w:ilvl w:val="0"/>
          <w:numId w:val="25"/>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合理化された共同依存的申請—各技術（すなわち、検査と薬）に対する個別の申請が同時に提出され、MSACとPBACでそれぞれ並行して審査される。</w:t>
      </w:r>
    </w:p>
    <w:p w14:paraId="453C91A5" w14:textId="42E95042" w:rsidR="00E14F70" w:rsidRP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2011年3月から2018年12月までのオーストラリアにおける共同依存申請のレビューでは、共同依存申請は一般的にPBAC申請の数を多く必要とすることが明らかになった。MSAC申請を伴うがん治療薬は、PBACの推奨を得るために平均2.27件のPBAC申請が必要であった。MSAC申請のないがん治療薬は、平均2.03件のPBAC申請が必要であった。MSAC申請が関連しているがん治療薬の場合、登録後にPBSに掲載されるまでの期間も平均で長かった（1,493日対717日）。著者らは、「複雑</w:t>
      </w:r>
      <w:r w:rsidRPr="00E14F70">
        <w:rPr>
          <w:rFonts w:ascii="ＭＳ Ｐ明朝" w:hAnsi="ＭＳ Ｐ明朝" w:hint="eastAsia"/>
          <w:sz w:val="20"/>
          <w:szCs w:val="20"/>
          <w:lang w:val="en-GB" w:eastAsia="ja-JP"/>
        </w:rPr>
        <w:lastRenderedPageBreak/>
        <w:t>な経緯を持つ医薬品が含まれていることを考慮すると」結果の解釈には注意が必要であると忠告している（Tran et al., 2019, p. S505）。</w:t>
      </w:r>
    </w:p>
    <w:p w14:paraId="3FAC3A56" w14:textId="77777777" w:rsidR="00E14F70" w:rsidRP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医薬品と共依存的検査の償還決定の同期化は、共依存的検査と医薬品間の償還決定プロセスが歴史的に一致していないため、現在のヨーロッパの多くの償還政策では支持されていない。カナダでは、共依存的技術は多くの場合、個別の規制および償還プロセスを経る。一部の規制プロセスは連邦政府管轄であるが、検査室開発診断検査やサービスなど、他のプロセスは州政府管轄である。同様に、償還は技術や管轄区域によって、州、地域保健当局、または病院レベルで行われる場合がある。システムの断片化は、精密医療技術の資金調達と償還における課題につながる。評価と患者への迅速なアクセスというニーズのバランスをとるために、新たな評価アプローチが必要になるであろう。</w:t>
      </w:r>
    </w:p>
    <w:p w14:paraId="31777F4F" w14:textId="77777777" w:rsidR="00E14F70" w:rsidRP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オーストラリアと9つの同等の国々に対して行われた共同依存的提出の結果をレビューしたところ、コンパニオン診断の特徴を経済モデルに含めるか除外するかは最終的な決定にほとんど影響を与えないようであった。コンパニオン診断製品の使用を条件とする推奨は見つからなかった。推奨しない場合と推奨を延期した場合の原因は、コンパニオン診断検査の包含基準や除外基準ではなく、費用対効果モデルにおける生存予測の不確実性、高いICER、および証拠の不足であった。著者らは、標的治療薬の費用対効果モデルにおけるコンパニオン診断の特性は、治療を推奨する決定にも、承認から推奨までの期間にも影響を与えていないと結論づけた。</w:t>
      </w:r>
    </w:p>
    <w:p w14:paraId="6CFD503E" w14:textId="77777777" w:rsidR="00E14F70" w:rsidRP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オーストラリアの補完的技術に対するアプローチは国際的な慣行と一致しており、医薬品とその補完的検査の評価と資金提供を同時に組み合わせることができるオーストラリアの能力は、好ましいアプローチである。証拠によると、オーストラリアにおける補完的医療技術のHTAは、標準的なPBAC申請よりも時間がかかる。</w:t>
      </w:r>
    </w:p>
    <w:p w14:paraId="4CFC5435" w14:textId="77777777" w:rsidR="00E14F70" w:rsidRPr="00E14F70" w:rsidRDefault="00E14F70" w:rsidP="00594E75">
      <w:pPr>
        <w:spacing w:afterLines="50" w:after="200" w:line="240" w:lineRule="auto"/>
        <w:rPr>
          <w:rFonts w:ascii="ＭＳ Ｐ明朝" w:hAnsi="ＭＳ Ｐ明朝"/>
          <w:sz w:val="20"/>
          <w:szCs w:val="20"/>
          <w:lang w:val="en-GB" w:eastAsia="ja-JP"/>
        </w:rPr>
      </w:pPr>
    </w:p>
    <w:p w14:paraId="07374E7F" w14:textId="77777777" w:rsidR="00E14F70" w:rsidRPr="00E14F70" w:rsidRDefault="00E14F70" w:rsidP="00594E75">
      <w:pPr>
        <w:pStyle w:val="32"/>
        <w:spacing w:before="0" w:afterLines="50" w:after="200" w:line="240" w:lineRule="auto"/>
        <w:rPr>
          <w:rFonts w:ascii="ＭＳ Ｐ明朝" w:eastAsia="ＭＳ Ｐ明朝" w:hAnsi="ＭＳ Ｐ明朝"/>
          <w:sz w:val="20"/>
          <w:szCs w:val="20"/>
          <w:lang w:val="en-GB" w:eastAsia="ja-JP"/>
        </w:rPr>
      </w:pPr>
      <w:r w:rsidRPr="00E14F70">
        <w:rPr>
          <w:rFonts w:ascii="ＭＳ Ｐ明朝" w:eastAsia="ＭＳ Ｐ明朝" w:hAnsi="ＭＳ Ｐ明朝" w:hint="eastAsia"/>
          <w:sz w:val="20"/>
          <w:szCs w:val="20"/>
          <w:lang w:val="en-GB" w:eastAsia="ja-JP"/>
        </w:rPr>
        <w:t>HTAにおける公平性の考慮</w:t>
      </w:r>
    </w:p>
    <w:p w14:paraId="6FCB1E6C" w14:textId="77777777" w:rsidR="00E14F70" w:rsidRPr="00594E75" w:rsidRDefault="00E14F70">
      <w:pPr>
        <w:pStyle w:val="a"/>
        <w:numPr>
          <w:ilvl w:val="0"/>
          <w:numId w:val="26"/>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HTAにおける公平性のアプローチは、国際的に比較可能な文脈において大きく異なる。</w:t>
      </w:r>
    </w:p>
    <w:p w14:paraId="5E5B0F97" w14:textId="77777777" w:rsidR="00E14F70" w:rsidRPr="00594E75" w:rsidRDefault="00E14F70">
      <w:pPr>
        <w:pStyle w:val="a"/>
        <w:numPr>
          <w:ilvl w:val="0"/>
          <w:numId w:val="26"/>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QALYウェイトや分配費用効果分析の使用を含む、公平性を考慮した定量的評価アプローチは、意思決定の柔軟性を制限し、公平性の目的を損なう可能性がある。</w:t>
      </w:r>
    </w:p>
    <w:p w14:paraId="66720585" w14:textId="77777777" w:rsidR="00E14F70" w:rsidRPr="00594E75" w:rsidRDefault="00E14F70">
      <w:pPr>
        <w:pStyle w:val="a"/>
        <w:numPr>
          <w:ilvl w:val="0"/>
          <w:numId w:val="26"/>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ステークホルダーは、オーストラリアの先住民の人々の健康の公平を促進するために、HTAプロセスを変更する方法をいくつか特定した。</w:t>
      </w:r>
    </w:p>
    <w:p w14:paraId="3F4AAE36" w14:textId="77777777" w:rsidR="00E14F70" w:rsidRP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世界保健機関は、健康の公平性を、社会、経済、人口統計、地理的要因、あるいはその他の不平等（性別、ジェンダー、人種、障害、性的指向など）によって定義される集団間における、不公平で回避可能、または改善可能な差異が存在しない状態と定義している。国際的に医療システムの説明や設計において公平性が強調されているにもかかわらず、医療技術の価格設定や購入・償還のシステムを含め、</w:t>
      </w:r>
      <w:r w:rsidRPr="00E14F70">
        <w:rPr>
          <w:rFonts w:ascii="ＭＳ Ｐ明朝" w:hAnsi="ＭＳ Ｐ明朝" w:hint="eastAsia"/>
          <w:sz w:val="20"/>
          <w:szCs w:val="20"/>
          <w:lang w:val="en-GB" w:eastAsia="ja-JP"/>
        </w:rPr>
        <w:lastRenderedPageBreak/>
        <w:t>HTAにおける公平性を体系的に考慮するための実践的なツールが不足している。HTAの意思決定に公平性を盛り込むことは、各国の根底にある社会的倫理観や法的原則によって左右され、社会的に望ましいことと政治・経済的に実現可能なことについての規範的な判断を必要とする。HTAの枠組みは、医療に関する法律や政策に定められた包括的な公平性の優先事項にも影響される。</w:t>
      </w:r>
    </w:p>
    <w:p w14:paraId="329B908F" w14:textId="77777777" w:rsidR="00E14F70" w:rsidRP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オーストラリアでは、健康の公平性の促進は、国家医薬品政策（NMP）の主要な柱として明確に定められている。NMPでは、公平性を「多様性、背景、年齢、障害、場所、個人的な状況に関わらず、すべてのオーストラリア人が安全で効果が高く高品質な医薬品、文化的に適切な医薬品関連サービス、医薬品関連情報にアクセスできること」と定義している。NMPは、他の法律や政策手段とともに、連邦政府による医療技術の償還が公平性を確保し、国の法的義務を遵守するよう、PBACおよびMSACによる優先事項の設定に指針を与えている。</w:t>
      </w:r>
    </w:p>
    <w:p w14:paraId="37FA92F6" w14:textId="77777777" w:rsidR="00E14F70" w:rsidRP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国際的に見ると、倫理原則を各国のHTA意思決定の法的アプローチに組み込む方法は大きく異なっている。主に、衡平性は、費用対効果の評価の枠組みの中で（例えば、所定の重みの適用を通じて）方法論的に考慮されてきたか、あるいは標準的なHTAプロセスを完全に回避することで（例えば、技術の推定費用対効果に基づかない償還のための特別な経路を通じて）考慮されてきた。定量的な評価は、資金提供の決定が健康に与える影響を明確にし、HTAの審議プロセスにおけるそのよう</w:t>
      </w:r>
      <w:r>
        <w:rPr>
          <w:rFonts w:ascii="ＭＳ Ｐ明朝" w:hAnsi="ＭＳ Ｐ明朝" w:hint="eastAsia"/>
          <w:sz w:val="20"/>
          <w:szCs w:val="20"/>
          <w:lang w:val="en-GB" w:eastAsia="ja-JP"/>
        </w:rPr>
        <w:t>な</w:t>
      </w:r>
      <w:r w:rsidRPr="00E14F70">
        <w:rPr>
          <w:rFonts w:ascii="ＭＳ Ｐ明朝" w:hAnsi="ＭＳ Ｐ明朝" w:hint="eastAsia"/>
          <w:sz w:val="20"/>
          <w:szCs w:val="20"/>
          <w:lang w:val="en-GB" w:eastAsia="ja-JP"/>
        </w:rPr>
        <w:t>定量的な評価は、資金提供の決定が健康に与える影響を明確にし、HTAの審議プロセスにおけるそのような考慮事項に光を当てる上で役立つ可能性があるが、専門家は柔軟性が極めて重要であり、定量的な公平性を考慮した経済評価を意思決定のアルゴリズムとして使用すべきではないと警告している。</w:t>
      </w:r>
    </w:p>
    <w:p w14:paraId="3C452665" w14:textId="77777777" w:rsidR="00E14F70" w:rsidRP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オーストラリアの先住民医療に関しては、多くの法的および政策的な枠組みが、HTAにおいてアボリジニおよびトレス海峡諸島民の健康結果を重視することを推進している。PBSは、アボリジニおよびトレス海峡諸島民向けの25種類の医薬品（44の特定の制限事項を含む）と多数のワクチンをリストアップしており、Closing the Gap (CTG) PBS Co-payment ProgramやRemote Area Aboriginal Health Services (RAAHS)などの一連の政府プログラムでは、サービス提供の現場で先住民の人々が医薬品へのアクセスを妨げられる経済的障壁を軽減し、医薬品へのアクセスを向上させることを目指している。HTAレビューに対する利害関係者の意見として、National Aboriginal Community Controlled Health Organisation (NACCHO)は、オーストラリアのHTAシステムにおける構造的な障害をいくつか指摘している。その中には、PBSに優先医薬品がリストアップされないこと、現在消費者が無料で入手できる医薬品がCTG協定によりリストから外されること、価格交渉が長引くこと、先住民コミュニティとの協議が行われていないこと、PBAC/MSACへの申請に対する非営利スポンサーシップの機会が限られていることなどが挙げられる。NACCHOがレビューに提出した提言には、以下の項目が含まれている。</w:t>
      </w:r>
    </w:p>
    <w:p w14:paraId="515DBF7F" w14:textId="77777777" w:rsidR="00E14F70" w:rsidRPr="00594E75" w:rsidRDefault="00E14F70">
      <w:pPr>
        <w:pStyle w:val="a"/>
        <w:numPr>
          <w:ilvl w:val="0"/>
          <w:numId w:val="27"/>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S19A承認を受けた同等の医薬品については、PBSリストへの自動的または合理化された承認を行うこと。</w:t>
      </w:r>
    </w:p>
    <w:p w14:paraId="14884D85" w14:textId="77777777" w:rsidR="00E14F70" w:rsidRPr="00594E75" w:rsidRDefault="00E14F70">
      <w:pPr>
        <w:pStyle w:val="a"/>
        <w:numPr>
          <w:ilvl w:val="0"/>
          <w:numId w:val="27"/>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lastRenderedPageBreak/>
        <w:t>新薬やニッチな医薬品に対するPBACと政府の柔軟性を高めるなど、HTAプロセスにおける公平性のさらなる考慮（例えば、省主導/NACCHO支援のPBAC提出を増やすなど）。</w:t>
      </w:r>
    </w:p>
    <w:p w14:paraId="4C12ADC0" w14:textId="77777777" w:rsidR="00E14F70" w:rsidRPr="00594E75" w:rsidRDefault="00E14F70">
      <w:pPr>
        <w:pStyle w:val="a"/>
        <w:numPr>
          <w:ilvl w:val="0"/>
          <w:numId w:val="27"/>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委員会および小委員会の透明性と公正性の向上、および強固な部門協議の実施。</w:t>
      </w:r>
    </w:p>
    <w:p w14:paraId="03A06EB4" w14:textId="77777777" w:rsidR="00E14F70" w:rsidRPr="00594E75" w:rsidRDefault="00E14F70">
      <w:pPr>
        <w:pStyle w:val="a"/>
        <w:numPr>
          <w:ilvl w:val="0"/>
          <w:numId w:val="27"/>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先住民およびトレス海峡諸島民に対するPBAC/MSAC提出の影響を判断するためにNACCHOと早期に相談すること。</w:t>
      </w:r>
    </w:p>
    <w:p w14:paraId="3CC39B99" w14:textId="77777777" w:rsidR="00E14F70" w:rsidRPr="00594E75" w:rsidRDefault="00E14F70">
      <w:pPr>
        <w:pStyle w:val="a"/>
        <w:numPr>
          <w:ilvl w:val="0"/>
          <w:numId w:val="27"/>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実世界証拠（RWE）に基づき、アボリジニおよびトレス海峡諸島民向けの治療薬の暫定リスト化を迅速化すること。</w:t>
      </w:r>
    </w:p>
    <w:p w14:paraId="37351CDE" w14:textId="77777777" w:rsidR="00E14F70" w:rsidRPr="00594E75" w:rsidRDefault="00E14F70">
      <w:pPr>
        <w:pStyle w:val="a"/>
        <w:numPr>
          <w:ilvl w:val="0"/>
          <w:numId w:val="27"/>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リストから削除されるPBS医薬品に関する明確性と可視性の向上、優先人口グループに対する影響の考慮をリスト削除基準として、意思決定プロセスの一環として影響を受けるコミュニティの関与、優先人口グループに臨床的必要性がある場合の継続的なアクセスを確保するための措置。</w:t>
      </w:r>
    </w:p>
    <w:p w14:paraId="0BA133CA" w14:textId="77777777" w:rsidR="00E14F70" w:rsidRPr="00594E75" w:rsidRDefault="00E14F70">
      <w:pPr>
        <w:pStyle w:val="a"/>
        <w:numPr>
          <w:ilvl w:val="0"/>
          <w:numId w:val="27"/>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価格交渉の一環として、サービスプロバイダー、主要団体、利害関係者の関与。</w:t>
      </w:r>
    </w:p>
    <w:p w14:paraId="424C7645" w14:textId="77777777" w:rsidR="00E14F70" w:rsidRPr="00594E75" w:rsidRDefault="00E14F70">
      <w:pPr>
        <w:pStyle w:val="a"/>
        <w:numPr>
          <w:ilvl w:val="0"/>
          <w:numId w:val="27"/>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アボリジニおよびトレス海峡諸島民に対する救命および継続的な治療に不可欠な医薬品への優先的なアクセス提供。</w:t>
      </w:r>
    </w:p>
    <w:p w14:paraId="0A61FD27" w14:textId="77777777" w:rsidR="00E14F70" w:rsidRPr="00594E75" w:rsidRDefault="00E14F70">
      <w:pPr>
        <w:pStyle w:val="a"/>
        <w:numPr>
          <w:ilvl w:val="0"/>
          <w:numId w:val="27"/>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ニーズが明確になっている医薬品については、スポンサー主導のアプローチに代えて、委託アプローチを開始すること。</w:t>
      </w:r>
    </w:p>
    <w:p w14:paraId="6C396A9A" w14:textId="77777777" w:rsidR="00E14F70" w:rsidRPr="00594E75" w:rsidRDefault="00E14F70">
      <w:pPr>
        <w:pStyle w:val="a"/>
        <w:numPr>
          <w:ilvl w:val="0"/>
          <w:numId w:val="27"/>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コミュニティに明確な利益をもたらす要請を考慮に入れるため、PBACの執行決定権限を強化する。</w:t>
      </w:r>
    </w:p>
    <w:p w14:paraId="71BB80F1" w14:textId="77777777" w:rsidR="00E14F70" w:rsidRP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HTAにおける消費者参加に関しては、患者、臨床医、地域住民をHTAの意思決定プロセスに含めることが、民主的、技術的、科学的、実用的な目標の達成に貢献することが認識されている。具体的には、消費者参加は、エビデンスのギャップに対処するための重要な洞察や、病気の経験から得られた地域の健康状況に関する情報を提供することが報告されている。多くの国々で、HTAプロセスに消費者や地域社会の代表者を正式に組み込むようになっているが、研究者たちは、HTAにおける消費者参加は歴史的に一貫性と透明性を欠いていると指摘している。消費者代表が商業部門とのやり取りを適切に調整できるようになる必要性を含め、ベストプラクティスとなる設計、実施、評価を明確にするための研究が進められている。</w:t>
      </w:r>
    </w:p>
    <w:p w14:paraId="7C7A6FB9" w14:textId="77777777" w:rsidR="00E14F70" w:rsidRP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最後に、HTAにおける公平性の考慮に関する枠組みを明確にすることが重要であるという研究結果がある。関連する根本的な要因を明確に表現することで、公平性を考慮した評価枠組みが目的と合致し続ける。つまり、各国の倫理原則、法的義務、社会的な嗜好の変化、健康の根本的な決定要因を反映するということである。</w:t>
      </w:r>
    </w:p>
    <w:p w14:paraId="15BC12DC" w14:textId="001D10D6" w:rsidR="00E14F70" w:rsidRPr="00E14F70" w:rsidRDefault="00E14F70" w:rsidP="00594E75">
      <w:pPr>
        <w:spacing w:afterLines="50" w:after="200" w:line="240" w:lineRule="auto"/>
        <w:rPr>
          <w:rFonts w:ascii="ＭＳ Ｐ明朝" w:hAnsi="ＭＳ Ｐ明朝"/>
          <w:sz w:val="20"/>
          <w:szCs w:val="20"/>
          <w:lang w:val="en-GB" w:eastAsia="ja-JP"/>
        </w:rPr>
      </w:pPr>
    </w:p>
    <w:p w14:paraId="3C682418" w14:textId="77777777" w:rsidR="00E14F70" w:rsidRPr="00E14F70" w:rsidRDefault="00E14F70" w:rsidP="00594E75">
      <w:pPr>
        <w:pStyle w:val="32"/>
        <w:spacing w:before="0" w:afterLines="50" w:after="200" w:line="240" w:lineRule="auto"/>
        <w:rPr>
          <w:rFonts w:ascii="ＭＳ Ｐ明朝" w:eastAsia="ＭＳ Ｐ明朝" w:hAnsi="ＭＳ Ｐ明朝"/>
          <w:sz w:val="20"/>
          <w:szCs w:val="20"/>
          <w:lang w:val="en-GB" w:eastAsia="ja-JP"/>
        </w:rPr>
      </w:pPr>
      <w:r w:rsidRPr="00E14F70">
        <w:rPr>
          <w:rFonts w:ascii="ＭＳ Ｐ明朝" w:eastAsia="ＭＳ Ｐ明朝" w:hAnsi="ＭＳ Ｐ明朝" w:hint="eastAsia"/>
          <w:sz w:val="20"/>
          <w:szCs w:val="20"/>
          <w:lang w:val="en-GB" w:eastAsia="ja-JP"/>
        </w:rPr>
        <w:lastRenderedPageBreak/>
        <w:t>HTAにおける希少疾患に対する国際的なアプローチ</w:t>
      </w:r>
    </w:p>
    <w:p w14:paraId="023D8D01" w14:textId="77777777" w:rsidR="00E14F70" w:rsidRPr="00594E75" w:rsidRDefault="00E14F70">
      <w:pPr>
        <w:pStyle w:val="a"/>
        <w:numPr>
          <w:ilvl w:val="0"/>
          <w:numId w:val="28"/>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調査対象となったすべての国では、希少疾患および超希少疾患の治療に対して特別な配慮がなされており、標準的なHTAプロセスからの例外措置や、完全に別のプロセスが定められている。</w:t>
      </w:r>
    </w:p>
    <w:p w14:paraId="0E572281" w14:textId="77777777" w:rsidR="00E14F70" w:rsidRPr="00594E75" w:rsidRDefault="00E14F70">
      <w:pPr>
        <w:pStyle w:val="a"/>
        <w:numPr>
          <w:ilvl w:val="0"/>
          <w:numId w:val="28"/>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イングランド/ウェールズ、イタリア、オランダ、ニュージーランド、スコットランド、シンガポール、台湾では、いずれも希少および超希少疾患の治療に特別に割り当てられた基金が指定されている。</w:t>
      </w:r>
    </w:p>
    <w:p w14:paraId="3FD358C0" w14:textId="77777777" w:rsidR="00E14F70" w:rsidRPr="00594E75" w:rsidRDefault="00E14F70">
      <w:pPr>
        <w:pStyle w:val="a"/>
        <w:numPr>
          <w:ilvl w:val="0"/>
          <w:numId w:val="28"/>
        </w:numPr>
        <w:spacing w:before="0" w:afterLines="50" w:after="200" w:line="240" w:lineRule="auto"/>
        <w:rPr>
          <w:rFonts w:ascii="ＭＳ Ｐ明朝" w:eastAsia="ＭＳ Ｐ明朝" w:hAnsi="ＭＳ Ｐ明朝"/>
          <w:sz w:val="20"/>
          <w:szCs w:val="20"/>
          <w:lang w:val="en-GB" w:eastAsia="ja-JP"/>
        </w:rPr>
      </w:pPr>
      <w:r w:rsidRPr="00594E75">
        <w:rPr>
          <w:rFonts w:ascii="ＭＳ Ｐ明朝" w:eastAsia="ＭＳ Ｐ明朝" w:hAnsi="ＭＳ Ｐ明朝" w:hint="eastAsia"/>
          <w:sz w:val="20"/>
          <w:szCs w:val="20"/>
          <w:lang w:val="en-GB" w:eastAsia="ja-JP"/>
        </w:rPr>
        <w:t>国際的に、HTAプロセスにおける希少疾病用医薬品の特別な考慮事項は、一般的に臨床的および経済的不確実性、患者の健康状態や経済効率を超えた影響、利害関係者の関与強化、迅速なアクセスに対処することを目的としている。</w:t>
      </w:r>
    </w:p>
    <w:p w14:paraId="2A009CD6" w14:textId="77777777" w:rsidR="00E14F70" w:rsidRP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多くの国のHTAシステムでは、希少疾患と超希少疾患（後者は一般的に人口5万人に1人未満と定義される）に特に焦点を当てている。有病率の基準に加え、希少疾患および超希少疾患は一般的に、生命を脅かす、または深刻な衰弱をもたらす疾患であり、有効な治療選択肢がない、あるいは代替療法と比較して治療薬（すなわち、オーファンドラッグ）が著しい利益（有効性/安全性）をもたらすものと理解されている。</w:t>
      </w:r>
    </w:p>
    <w:p w14:paraId="742001C7" w14:textId="77777777" w:rsidR="00E14F70" w:rsidRP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希少疾患に対する特別な配慮は、調査対象となったすべての国で実施されている。アクセス経路を別に設けている国がある一方で、標準プロセスを維持しつつ例外を認める国もある。標準プロセスとは別に、あるいは例外として、ほとんどの国では、必ずしも希少疾患に限らない特別な状況に対応するための代替経路を用意している（例：コンパッショネートユース、適応外使用、個々の患者に対するアクセス）。希少疾患用医薬品に対する国際的な資金調達モデルの概要を表1に示す。</w:t>
      </w:r>
    </w:p>
    <w:p w14:paraId="5E2B95C0" w14:textId="77777777" w:rsidR="00E14F70" w:rsidRPr="00E14F70" w:rsidRDefault="00E14F70" w:rsidP="00594E75">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分析対象国の中で、ドイツと日本は最も短期間で承認され、販売承認から実際に利用可能になるまでの期間はそれぞれ中央値で45日と約100日であった。これらの2か国では、償還と価格設定の決定はほぼ同時に行われる。一方、カナダとスペインでは、国のHTA機関が希少疾患に対して明確な特別な配慮を行っていないため、実際に利用可能になるまでの期間は最も長くなっている（中央値700日以上）。</w:t>
      </w:r>
    </w:p>
    <w:p w14:paraId="491CC502" w14:textId="77777777" w:rsidR="00E14F70" w:rsidRPr="00E14F70" w:rsidRDefault="00E14F70" w:rsidP="00594E75">
      <w:pPr>
        <w:spacing w:afterLines="50" w:after="200" w:line="240" w:lineRule="auto"/>
        <w:rPr>
          <w:rFonts w:ascii="ＭＳ Ｐ明朝" w:hAnsi="ＭＳ Ｐ明朝"/>
          <w:sz w:val="20"/>
          <w:szCs w:val="20"/>
          <w:lang w:val="en-GB" w:eastAsia="ja-JP"/>
        </w:rPr>
      </w:pPr>
    </w:p>
    <w:p w14:paraId="018E60BA" w14:textId="77777777" w:rsidR="00594E75" w:rsidRDefault="00594E75" w:rsidP="00594E75">
      <w:pPr>
        <w:spacing w:afterLines="50" w:after="200" w:line="240" w:lineRule="auto"/>
        <w:rPr>
          <w:rFonts w:ascii="ＭＳ Ｐ明朝" w:hAnsi="ＭＳ Ｐ明朝"/>
          <w:b/>
          <w:bCs/>
          <w:sz w:val="20"/>
          <w:szCs w:val="20"/>
          <w:lang w:val="en-GB" w:eastAsia="ja-JP"/>
        </w:rPr>
      </w:pPr>
      <w:r>
        <w:rPr>
          <w:rFonts w:ascii="ＭＳ Ｐ明朝" w:hAnsi="ＭＳ Ｐ明朝"/>
          <w:b/>
          <w:bCs/>
          <w:sz w:val="20"/>
          <w:szCs w:val="20"/>
          <w:lang w:val="en-GB" w:eastAsia="ja-JP"/>
        </w:rPr>
        <w:br w:type="page"/>
      </w:r>
    </w:p>
    <w:p w14:paraId="6FBECAE5" w14:textId="438C89C7" w:rsidR="00E14F70" w:rsidRPr="00594E75" w:rsidRDefault="00E14F70" w:rsidP="00594E75">
      <w:pPr>
        <w:spacing w:afterLines="50" w:after="200" w:line="240" w:lineRule="auto"/>
        <w:rPr>
          <w:rFonts w:ascii="ＭＳ Ｐ明朝" w:hAnsi="ＭＳ Ｐ明朝"/>
          <w:b/>
          <w:bCs/>
          <w:sz w:val="20"/>
          <w:szCs w:val="20"/>
          <w:lang w:val="en-GB" w:eastAsia="ja-JP"/>
        </w:rPr>
      </w:pPr>
      <w:r w:rsidRPr="00594E75">
        <w:rPr>
          <w:rFonts w:ascii="ＭＳ Ｐ明朝" w:hAnsi="ＭＳ Ｐ明朝" w:hint="eastAsia"/>
          <w:b/>
          <w:bCs/>
          <w:sz w:val="20"/>
          <w:szCs w:val="20"/>
          <w:lang w:val="en-GB" w:eastAsia="ja-JP"/>
        </w:rPr>
        <w:lastRenderedPageBreak/>
        <w:t>表1. 国別の希少疾患の資金調達モデル</w:t>
      </w:r>
    </w:p>
    <w:tbl>
      <w:tblPr>
        <w:tblStyle w:val="LinedBlueTable"/>
        <w:tblW w:w="0" w:type="auto"/>
        <w:tblLayout w:type="fixed"/>
        <w:tblLook w:val="04A0" w:firstRow="1" w:lastRow="0" w:firstColumn="1" w:lastColumn="0" w:noHBand="0" w:noVBand="1"/>
        <w:tblCaption w:val="Rare disease funding model by country"/>
      </w:tblPr>
      <w:tblGrid>
        <w:gridCol w:w="1696"/>
        <w:gridCol w:w="1134"/>
        <w:gridCol w:w="1276"/>
        <w:gridCol w:w="1134"/>
        <w:gridCol w:w="1418"/>
        <w:gridCol w:w="1559"/>
        <w:gridCol w:w="987"/>
      </w:tblGrid>
      <w:tr w:rsidR="00594E75" w:rsidRPr="00CE1F5F" w14:paraId="12A5FF7F" w14:textId="77777777" w:rsidTr="00AD5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000000" w:themeFill="text1"/>
          </w:tcPr>
          <w:p w14:paraId="3A2D8CF3"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b/>
                <w:sz w:val="18"/>
                <w:szCs w:val="18"/>
                <w:lang w:val="en-GB"/>
              </w:rPr>
              <w:t>Country</w:t>
            </w:r>
          </w:p>
          <w:p w14:paraId="0085267D"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p>
        </w:tc>
        <w:tc>
          <w:tcPr>
            <w:tcW w:w="2410" w:type="dxa"/>
            <w:gridSpan w:val="2"/>
            <w:shd w:val="clear" w:color="auto" w:fill="1E8BCD"/>
          </w:tcPr>
          <w:p w14:paraId="0F224595" w14:textId="77777777" w:rsidR="00594E75" w:rsidRPr="00CE1F5F" w:rsidRDefault="00594E75" w:rsidP="00594E75">
            <w:pPr>
              <w:pStyle w:val="TableHeading"/>
              <w:keepNext/>
              <w:keepLines/>
              <w:snapToGrid w:val="0"/>
              <w:spacing w:before="0" w:after="0" w:line="240" w:lineRule="atLeast"/>
              <w:ind w:left="0" w:right="0"/>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Special considerations for rare diseases</w:t>
            </w:r>
          </w:p>
        </w:tc>
        <w:tc>
          <w:tcPr>
            <w:tcW w:w="1134" w:type="dxa"/>
            <w:vMerge w:val="restart"/>
            <w:shd w:val="clear" w:color="auto" w:fill="1E8BCD"/>
          </w:tcPr>
          <w:p w14:paraId="30D41323" w14:textId="77777777" w:rsidR="00594E75" w:rsidRPr="00CE1F5F" w:rsidRDefault="00594E75" w:rsidP="00594E75">
            <w:pPr>
              <w:pStyle w:val="TableHeading"/>
              <w:keepNext/>
              <w:keepLines/>
              <w:snapToGrid w:val="0"/>
              <w:spacing w:before="0" w:after="0" w:line="240" w:lineRule="atLeast"/>
              <w:ind w:left="0" w:right="0"/>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Standard process with no change</w:t>
            </w:r>
          </w:p>
        </w:tc>
        <w:tc>
          <w:tcPr>
            <w:tcW w:w="1418" w:type="dxa"/>
            <w:vMerge w:val="restart"/>
            <w:shd w:val="clear" w:color="auto" w:fill="1E8BCD"/>
          </w:tcPr>
          <w:p w14:paraId="52EEF8EC" w14:textId="77777777" w:rsidR="00594E75" w:rsidRPr="00CE1F5F" w:rsidRDefault="00594E75" w:rsidP="00594E75">
            <w:pPr>
              <w:pStyle w:val="TableHeading"/>
              <w:keepNext/>
              <w:keepLines/>
              <w:snapToGrid w:val="0"/>
              <w:spacing w:before="0" w:after="0" w:line="240" w:lineRule="atLeast"/>
              <w:ind w:left="0" w:right="0"/>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Alternative process</w:t>
            </w:r>
          </w:p>
        </w:tc>
        <w:tc>
          <w:tcPr>
            <w:tcW w:w="1559" w:type="dxa"/>
            <w:vMerge w:val="restart"/>
            <w:shd w:val="clear" w:color="auto" w:fill="1E8BCD"/>
          </w:tcPr>
          <w:p w14:paraId="34D057B4" w14:textId="77777777" w:rsidR="00594E75" w:rsidRPr="00CE1F5F" w:rsidRDefault="00594E75" w:rsidP="00594E75">
            <w:pPr>
              <w:pStyle w:val="TableText"/>
              <w:keepNext/>
              <w:keepLines/>
              <w:snapToGrid w:val="0"/>
              <w:spacing w:before="0" w:after="0" w:line="240" w:lineRule="atLeast"/>
              <w:ind w:left="0" w:right="0"/>
              <w:jc w:val="center"/>
              <w:cnfStyle w:val="100000000000" w:firstRow="1" w:lastRow="0" w:firstColumn="0" w:lastColumn="0" w:oddVBand="0" w:evenVBand="0" w:oddHBand="0" w:evenHBand="0" w:firstRowFirstColumn="0" w:firstRowLastColumn="0" w:lastRowFirstColumn="0" w:lastRowLastColumn="0"/>
              <w:rPr>
                <w:rFonts w:cs="Times New Roman"/>
                <w:b/>
                <w:sz w:val="18"/>
                <w:szCs w:val="18"/>
                <w:lang w:val="en-GB"/>
              </w:rPr>
            </w:pPr>
            <w:r w:rsidRPr="00CE1F5F">
              <w:rPr>
                <w:rFonts w:cs="Times New Roman"/>
                <w:b/>
                <w:sz w:val="18"/>
                <w:szCs w:val="18"/>
                <w:lang w:val="en-GB"/>
              </w:rPr>
              <w:t>Median time to availability (days)</w:t>
            </w:r>
            <w:r w:rsidRPr="00CE1F5F">
              <w:rPr>
                <w:rFonts w:cs="Times New Roman"/>
                <w:b/>
                <w:sz w:val="18"/>
                <w:szCs w:val="18"/>
                <w:vertAlign w:val="superscript"/>
                <w:lang w:val="en-GB"/>
              </w:rPr>
              <w:t>*</w:t>
            </w:r>
          </w:p>
        </w:tc>
        <w:tc>
          <w:tcPr>
            <w:tcW w:w="987" w:type="dxa"/>
            <w:vMerge w:val="restart"/>
            <w:shd w:val="clear" w:color="auto" w:fill="1E8BCD"/>
          </w:tcPr>
          <w:p w14:paraId="37C16E01" w14:textId="77777777" w:rsidR="00594E75" w:rsidRPr="00CE1F5F" w:rsidRDefault="00594E75" w:rsidP="00594E75">
            <w:pPr>
              <w:pStyle w:val="TableText"/>
              <w:keepNext/>
              <w:keepLines/>
              <w:snapToGrid w:val="0"/>
              <w:spacing w:before="0" w:after="0" w:line="240" w:lineRule="atLeast"/>
              <w:ind w:left="0" w:right="0"/>
              <w:jc w:val="center"/>
              <w:cnfStyle w:val="100000000000" w:firstRow="1" w:lastRow="0" w:firstColumn="0" w:lastColumn="0" w:oddVBand="0" w:evenVBand="0" w:oddHBand="0" w:evenHBand="0" w:firstRowFirstColumn="0" w:firstRowLastColumn="0" w:lastRowFirstColumn="0" w:lastRowLastColumn="0"/>
              <w:rPr>
                <w:rFonts w:cs="Times New Roman"/>
                <w:b/>
                <w:sz w:val="18"/>
                <w:szCs w:val="18"/>
                <w:vertAlign w:val="superscript"/>
                <w:lang w:val="en-GB"/>
              </w:rPr>
            </w:pPr>
            <w:r w:rsidRPr="00CE1F5F">
              <w:rPr>
                <w:rFonts w:cs="Times New Roman"/>
                <w:b/>
                <w:sz w:val="18"/>
                <w:szCs w:val="18"/>
                <w:lang w:val="en-GB"/>
              </w:rPr>
              <w:t>Number of drugs available</w:t>
            </w:r>
          </w:p>
        </w:tc>
      </w:tr>
      <w:tr w:rsidR="00594E75" w:rsidRPr="00CE1F5F" w14:paraId="6139CA0E" w14:textId="77777777" w:rsidTr="00AD50C5">
        <w:tc>
          <w:tcPr>
            <w:cnfStyle w:val="001000000000" w:firstRow="0" w:lastRow="0" w:firstColumn="1" w:lastColumn="0" w:oddVBand="0" w:evenVBand="0" w:oddHBand="0" w:evenHBand="0" w:firstRowFirstColumn="0" w:firstRowLastColumn="0" w:lastRowFirstColumn="0" w:lastRowLastColumn="0"/>
            <w:tcW w:w="1696" w:type="dxa"/>
            <w:vMerge/>
          </w:tcPr>
          <w:p w14:paraId="05476A88"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p>
        </w:tc>
        <w:tc>
          <w:tcPr>
            <w:tcW w:w="1134" w:type="dxa"/>
          </w:tcPr>
          <w:p w14:paraId="1FCE8A25" w14:textId="77777777" w:rsidR="00594E75" w:rsidRPr="00CE1F5F" w:rsidRDefault="00594E75" w:rsidP="00594E75">
            <w:pPr>
              <w:pStyle w:val="TableHeading"/>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Separate process’</w:t>
            </w:r>
          </w:p>
        </w:tc>
        <w:tc>
          <w:tcPr>
            <w:tcW w:w="1276" w:type="dxa"/>
          </w:tcPr>
          <w:p w14:paraId="519683C2" w14:textId="77777777" w:rsidR="00594E75" w:rsidRPr="00CE1F5F" w:rsidRDefault="00594E75" w:rsidP="00594E75">
            <w:pPr>
              <w:pStyle w:val="TableHeading"/>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Exception to standard process</w:t>
            </w:r>
          </w:p>
        </w:tc>
        <w:tc>
          <w:tcPr>
            <w:tcW w:w="1134" w:type="dxa"/>
            <w:vMerge/>
          </w:tcPr>
          <w:p w14:paraId="16498CE9"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418" w:type="dxa"/>
            <w:vMerge/>
          </w:tcPr>
          <w:p w14:paraId="1EAF7B8C"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559" w:type="dxa"/>
            <w:vMerge/>
          </w:tcPr>
          <w:p w14:paraId="4D23667A"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987" w:type="dxa"/>
            <w:vMerge/>
          </w:tcPr>
          <w:p w14:paraId="621F2E22"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r>
      <w:tr w:rsidR="00594E75" w:rsidRPr="00CE1F5F" w14:paraId="1B665751"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01097706"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Australia</w:t>
            </w:r>
          </w:p>
        </w:tc>
        <w:tc>
          <w:tcPr>
            <w:tcW w:w="1134" w:type="dxa"/>
          </w:tcPr>
          <w:p w14:paraId="6327BEED"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276" w:type="dxa"/>
          </w:tcPr>
          <w:p w14:paraId="06D46836"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134" w:type="dxa"/>
          </w:tcPr>
          <w:p w14:paraId="1DAEA3F4"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418" w:type="dxa"/>
          </w:tcPr>
          <w:p w14:paraId="4FD4944B"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NI</w:t>
            </w:r>
          </w:p>
        </w:tc>
        <w:tc>
          <w:tcPr>
            <w:tcW w:w="1559" w:type="dxa"/>
          </w:tcPr>
          <w:p w14:paraId="2949D41E"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NI</w:t>
            </w:r>
          </w:p>
        </w:tc>
        <w:tc>
          <w:tcPr>
            <w:tcW w:w="987" w:type="dxa"/>
          </w:tcPr>
          <w:p w14:paraId="105B58B2"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17</w:t>
            </w:r>
          </w:p>
        </w:tc>
      </w:tr>
      <w:tr w:rsidR="00594E75" w:rsidRPr="00CE1F5F" w14:paraId="784CB349" w14:textId="77777777" w:rsidTr="00AD50C5">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4030902C"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Belgium</w:t>
            </w:r>
          </w:p>
        </w:tc>
        <w:tc>
          <w:tcPr>
            <w:tcW w:w="1134" w:type="dxa"/>
          </w:tcPr>
          <w:p w14:paraId="2217C858"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276" w:type="dxa"/>
          </w:tcPr>
          <w:p w14:paraId="056DA214"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134" w:type="dxa"/>
          </w:tcPr>
          <w:p w14:paraId="59EF7F07"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418" w:type="dxa"/>
          </w:tcPr>
          <w:p w14:paraId="53E91E5C"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559" w:type="dxa"/>
          </w:tcPr>
          <w:p w14:paraId="313EA210"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558</w:t>
            </w:r>
          </w:p>
        </w:tc>
        <w:tc>
          <w:tcPr>
            <w:tcW w:w="987" w:type="dxa"/>
          </w:tcPr>
          <w:p w14:paraId="4ADC1634"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22</w:t>
            </w:r>
          </w:p>
        </w:tc>
      </w:tr>
      <w:tr w:rsidR="00594E75" w:rsidRPr="00CE1F5F" w14:paraId="7AD50580"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3186F507"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Canada</w:t>
            </w:r>
          </w:p>
        </w:tc>
        <w:tc>
          <w:tcPr>
            <w:tcW w:w="1134" w:type="dxa"/>
          </w:tcPr>
          <w:p w14:paraId="2172CA9D"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276" w:type="dxa"/>
          </w:tcPr>
          <w:p w14:paraId="4BD39DEF"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134" w:type="dxa"/>
          </w:tcPr>
          <w:p w14:paraId="105EBCCF"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vertAlign w:val="superscript"/>
                <w:lang w:val="en-GB"/>
              </w:rPr>
            </w:pPr>
            <w:r w:rsidRPr="00CE1F5F">
              <w:rPr>
                <w:rFonts w:eastAsia="Wingdings" w:cs="Times New Roman"/>
                <w:sz w:val="18"/>
                <w:szCs w:val="18"/>
                <w:lang w:val="en-GB"/>
              </w:rPr>
              <w:t></w:t>
            </w:r>
            <w:r w:rsidRPr="00CE1F5F">
              <w:rPr>
                <w:rFonts w:cs="Times New Roman"/>
                <w:sz w:val="18"/>
                <w:szCs w:val="18"/>
                <w:vertAlign w:val="superscript"/>
                <w:lang w:val="en-GB"/>
              </w:rPr>
              <w:t>1</w:t>
            </w:r>
          </w:p>
        </w:tc>
        <w:tc>
          <w:tcPr>
            <w:tcW w:w="1418" w:type="dxa"/>
          </w:tcPr>
          <w:p w14:paraId="1D7E02A8"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559" w:type="dxa"/>
          </w:tcPr>
          <w:p w14:paraId="06389604"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733</w:t>
            </w:r>
          </w:p>
        </w:tc>
        <w:tc>
          <w:tcPr>
            <w:tcW w:w="987" w:type="dxa"/>
          </w:tcPr>
          <w:p w14:paraId="43DFC6A8"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NI</w:t>
            </w:r>
          </w:p>
        </w:tc>
      </w:tr>
      <w:tr w:rsidR="00594E75" w:rsidRPr="00CE1F5F" w14:paraId="1FAB33CA" w14:textId="77777777" w:rsidTr="00AD50C5">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594103F9"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England/Wales</w:t>
            </w:r>
          </w:p>
        </w:tc>
        <w:tc>
          <w:tcPr>
            <w:tcW w:w="1134" w:type="dxa"/>
          </w:tcPr>
          <w:p w14:paraId="2E4246B1"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276" w:type="dxa"/>
          </w:tcPr>
          <w:p w14:paraId="3F9EC8F8"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134" w:type="dxa"/>
          </w:tcPr>
          <w:p w14:paraId="4990B5AC"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418" w:type="dxa"/>
          </w:tcPr>
          <w:p w14:paraId="4F9670AF"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559" w:type="dxa"/>
          </w:tcPr>
          <w:p w14:paraId="596DC450"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317</w:t>
            </w:r>
          </w:p>
        </w:tc>
        <w:tc>
          <w:tcPr>
            <w:tcW w:w="987" w:type="dxa"/>
          </w:tcPr>
          <w:p w14:paraId="631109A0"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36</w:t>
            </w:r>
          </w:p>
        </w:tc>
      </w:tr>
      <w:tr w:rsidR="00594E75" w:rsidRPr="00CE1F5F" w14:paraId="5E7E3B63"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05EE9F1C"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France</w:t>
            </w:r>
          </w:p>
        </w:tc>
        <w:tc>
          <w:tcPr>
            <w:tcW w:w="1134" w:type="dxa"/>
          </w:tcPr>
          <w:p w14:paraId="2E5A96AB"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276" w:type="dxa"/>
          </w:tcPr>
          <w:p w14:paraId="6452D903"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134" w:type="dxa"/>
          </w:tcPr>
          <w:p w14:paraId="595C3F73"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418" w:type="dxa"/>
          </w:tcPr>
          <w:p w14:paraId="42FB062E"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559" w:type="dxa"/>
          </w:tcPr>
          <w:p w14:paraId="3328DFAA"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593</w:t>
            </w:r>
          </w:p>
        </w:tc>
        <w:tc>
          <w:tcPr>
            <w:tcW w:w="987" w:type="dxa"/>
          </w:tcPr>
          <w:p w14:paraId="42194524"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48</w:t>
            </w:r>
          </w:p>
        </w:tc>
      </w:tr>
      <w:tr w:rsidR="00594E75" w:rsidRPr="00CE1F5F" w14:paraId="02FCDD49" w14:textId="77777777" w:rsidTr="00AD50C5">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2BB91F7B"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Germany</w:t>
            </w:r>
          </w:p>
        </w:tc>
        <w:tc>
          <w:tcPr>
            <w:tcW w:w="1134" w:type="dxa"/>
          </w:tcPr>
          <w:p w14:paraId="77F97557"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276" w:type="dxa"/>
          </w:tcPr>
          <w:p w14:paraId="38178BA2"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134" w:type="dxa"/>
          </w:tcPr>
          <w:p w14:paraId="7A549798"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418" w:type="dxa"/>
          </w:tcPr>
          <w:p w14:paraId="1A48A8F1"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NI</w:t>
            </w:r>
          </w:p>
        </w:tc>
        <w:tc>
          <w:tcPr>
            <w:tcW w:w="1559" w:type="dxa"/>
          </w:tcPr>
          <w:p w14:paraId="7085EFCD"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45</w:t>
            </w:r>
          </w:p>
        </w:tc>
        <w:tc>
          <w:tcPr>
            <w:tcW w:w="987" w:type="dxa"/>
          </w:tcPr>
          <w:p w14:paraId="5D4D8BE6"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55</w:t>
            </w:r>
          </w:p>
        </w:tc>
      </w:tr>
      <w:tr w:rsidR="00594E75" w:rsidRPr="00CE1F5F" w14:paraId="6C51F735"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39C1EE1F"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Italy</w:t>
            </w:r>
          </w:p>
        </w:tc>
        <w:tc>
          <w:tcPr>
            <w:tcW w:w="1134" w:type="dxa"/>
          </w:tcPr>
          <w:p w14:paraId="5FD8E25F"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276" w:type="dxa"/>
          </w:tcPr>
          <w:p w14:paraId="1E712F74"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134" w:type="dxa"/>
          </w:tcPr>
          <w:p w14:paraId="77363FEB"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418" w:type="dxa"/>
          </w:tcPr>
          <w:p w14:paraId="773EFED9"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559" w:type="dxa"/>
          </w:tcPr>
          <w:p w14:paraId="46C3BB00"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457</w:t>
            </w:r>
          </w:p>
        </w:tc>
        <w:tc>
          <w:tcPr>
            <w:tcW w:w="987" w:type="dxa"/>
          </w:tcPr>
          <w:p w14:paraId="5DE9C5B1"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50</w:t>
            </w:r>
          </w:p>
        </w:tc>
      </w:tr>
      <w:tr w:rsidR="00594E75" w:rsidRPr="00CE1F5F" w14:paraId="1653920D" w14:textId="77777777" w:rsidTr="00AD50C5">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1F859947"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Japan</w:t>
            </w:r>
          </w:p>
        </w:tc>
        <w:tc>
          <w:tcPr>
            <w:tcW w:w="1134" w:type="dxa"/>
          </w:tcPr>
          <w:p w14:paraId="6355F75B"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276" w:type="dxa"/>
          </w:tcPr>
          <w:p w14:paraId="73FF5198"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134" w:type="dxa"/>
          </w:tcPr>
          <w:p w14:paraId="24EA37DF"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418" w:type="dxa"/>
          </w:tcPr>
          <w:p w14:paraId="486E1F08"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NI</w:t>
            </w:r>
          </w:p>
        </w:tc>
        <w:tc>
          <w:tcPr>
            <w:tcW w:w="1559" w:type="dxa"/>
          </w:tcPr>
          <w:p w14:paraId="43A95883"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Approx. 100</w:t>
            </w:r>
          </w:p>
        </w:tc>
        <w:tc>
          <w:tcPr>
            <w:tcW w:w="987" w:type="dxa"/>
          </w:tcPr>
          <w:p w14:paraId="52B574ED"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NI</w:t>
            </w:r>
          </w:p>
        </w:tc>
      </w:tr>
      <w:tr w:rsidR="00594E75" w:rsidRPr="00CE1F5F" w14:paraId="20A6FAE6"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1F16AA0E"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Korea</w:t>
            </w:r>
          </w:p>
        </w:tc>
        <w:tc>
          <w:tcPr>
            <w:tcW w:w="1134" w:type="dxa"/>
          </w:tcPr>
          <w:p w14:paraId="4386B0CE"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276" w:type="dxa"/>
          </w:tcPr>
          <w:p w14:paraId="2139A0E2"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134" w:type="dxa"/>
          </w:tcPr>
          <w:p w14:paraId="3ADDD3F8"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418" w:type="dxa"/>
          </w:tcPr>
          <w:p w14:paraId="6B19B113"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NI</w:t>
            </w:r>
          </w:p>
        </w:tc>
        <w:tc>
          <w:tcPr>
            <w:tcW w:w="1559" w:type="dxa"/>
          </w:tcPr>
          <w:p w14:paraId="53AB19E4"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561</w:t>
            </w:r>
            <w:r w:rsidRPr="00CE1F5F">
              <w:rPr>
                <w:rFonts w:cs="Times New Roman"/>
                <w:sz w:val="18"/>
                <w:szCs w:val="18"/>
                <w:vertAlign w:val="superscript"/>
                <w:lang w:val="en-GB"/>
              </w:rPr>
              <w:t>4</w:t>
            </w:r>
          </w:p>
        </w:tc>
        <w:tc>
          <w:tcPr>
            <w:tcW w:w="987" w:type="dxa"/>
          </w:tcPr>
          <w:p w14:paraId="660D208F"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88</w:t>
            </w:r>
            <w:r w:rsidRPr="00CE1F5F">
              <w:rPr>
                <w:rFonts w:cs="Times New Roman"/>
                <w:sz w:val="18"/>
                <w:szCs w:val="18"/>
                <w:vertAlign w:val="superscript"/>
                <w:lang w:val="en-GB"/>
              </w:rPr>
              <w:t>5</w:t>
            </w:r>
          </w:p>
        </w:tc>
      </w:tr>
      <w:tr w:rsidR="00594E75" w:rsidRPr="00CE1F5F" w14:paraId="20F8B848" w14:textId="77777777" w:rsidTr="00AD50C5">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40F40114"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Netherlands</w:t>
            </w:r>
          </w:p>
        </w:tc>
        <w:tc>
          <w:tcPr>
            <w:tcW w:w="1134" w:type="dxa"/>
          </w:tcPr>
          <w:p w14:paraId="6BDA2698"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276" w:type="dxa"/>
          </w:tcPr>
          <w:p w14:paraId="2B077641"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134" w:type="dxa"/>
          </w:tcPr>
          <w:p w14:paraId="585057C8"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418" w:type="dxa"/>
          </w:tcPr>
          <w:p w14:paraId="1D446807"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NI</w:t>
            </w:r>
          </w:p>
        </w:tc>
        <w:tc>
          <w:tcPr>
            <w:tcW w:w="1559" w:type="dxa"/>
          </w:tcPr>
          <w:p w14:paraId="64579C3F"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393</w:t>
            </w:r>
          </w:p>
        </w:tc>
        <w:tc>
          <w:tcPr>
            <w:tcW w:w="987" w:type="dxa"/>
          </w:tcPr>
          <w:p w14:paraId="10121693"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28</w:t>
            </w:r>
          </w:p>
        </w:tc>
      </w:tr>
      <w:tr w:rsidR="00594E75" w:rsidRPr="00CE1F5F" w14:paraId="3EE76B01"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00C26273"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New Zealand</w:t>
            </w:r>
          </w:p>
        </w:tc>
        <w:tc>
          <w:tcPr>
            <w:tcW w:w="1134" w:type="dxa"/>
          </w:tcPr>
          <w:p w14:paraId="3C478369"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276" w:type="dxa"/>
          </w:tcPr>
          <w:p w14:paraId="1E891E60"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134" w:type="dxa"/>
          </w:tcPr>
          <w:p w14:paraId="0D5F15E8"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418" w:type="dxa"/>
          </w:tcPr>
          <w:p w14:paraId="13D80E45"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559" w:type="dxa"/>
          </w:tcPr>
          <w:p w14:paraId="62A82E41"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NI</w:t>
            </w:r>
          </w:p>
        </w:tc>
        <w:tc>
          <w:tcPr>
            <w:tcW w:w="987" w:type="dxa"/>
          </w:tcPr>
          <w:p w14:paraId="69034E80"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10 (2019)</w:t>
            </w:r>
          </w:p>
        </w:tc>
      </w:tr>
      <w:tr w:rsidR="00594E75" w:rsidRPr="00CE1F5F" w14:paraId="265A0C58" w14:textId="77777777" w:rsidTr="00AD50C5">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4F00CB6C"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Norway</w:t>
            </w:r>
          </w:p>
        </w:tc>
        <w:tc>
          <w:tcPr>
            <w:tcW w:w="1134" w:type="dxa"/>
          </w:tcPr>
          <w:p w14:paraId="6C88C1B4"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276" w:type="dxa"/>
          </w:tcPr>
          <w:p w14:paraId="557BFD91"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134" w:type="dxa"/>
          </w:tcPr>
          <w:p w14:paraId="10BB822A"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418" w:type="dxa"/>
          </w:tcPr>
          <w:p w14:paraId="047D3A9C"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559" w:type="dxa"/>
          </w:tcPr>
          <w:p w14:paraId="533E32BC"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586</w:t>
            </w:r>
          </w:p>
        </w:tc>
        <w:tc>
          <w:tcPr>
            <w:tcW w:w="987" w:type="dxa"/>
          </w:tcPr>
          <w:p w14:paraId="142D3BC1"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21</w:t>
            </w:r>
          </w:p>
        </w:tc>
      </w:tr>
      <w:tr w:rsidR="00594E75" w:rsidRPr="00CE1F5F" w14:paraId="09996B75"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67984C68"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Scotland</w:t>
            </w:r>
          </w:p>
        </w:tc>
        <w:tc>
          <w:tcPr>
            <w:tcW w:w="1134" w:type="dxa"/>
          </w:tcPr>
          <w:p w14:paraId="58B813B6"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276" w:type="dxa"/>
          </w:tcPr>
          <w:p w14:paraId="28D91678"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134" w:type="dxa"/>
          </w:tcPr>
          <w:p w14:paraId="2B3FBBE8"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418" w:type="dxa"/>
          </w:tcPr>
          <w:p w14:paraId="4718839B"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559" w:type="dxa"/>
          </w:tcPr>
          <w:p w14:paraId="127DA05C"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403</w:t>
            </w:r>
          </w:p>
        </w:tc>
        <w:tc>
          <w:tcPr>
            <w:tcW w:w="987" w:type="dxa"/>
          </w:tcPr>
          <w:p w14:paraId="787DB519"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33</w:t>
            </w:r>
          </w:p>
        </w:tc>
      </w:tr>
      <w:tr w:rsidR="00594E75" w:rsidRPr="00CE1F5F" w14:paraId="48F9CBDE" w14:textId="77777777" w:rsidTr="00AD50C5">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5DBC2638"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Singapore</w:t>
            </w:r>
          </w:p>
        </w:tc>
        <w:tc>
          <w:tcPr>
            <w:tcW w:w="1134" w:type="dxa"/>
          </w:tcPr>
          <w:p w14:paraId="16130D76"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vertAlign w:val="superscript"/>
                <w:lang w:val="en-GB"/>
              </w:rPr>
            </w:pPr>
            <w:r w:rsidRPr="00CE1F5F">
              <w:rPr>
                <w:rFonts w:eastAsia="Wingdings" w:cs="Times New Roman"/>
                <w:sz w:val="18"/>
                <w:szCs w:val="18"/>
                <w:lang w:val="en-GB"/>
              </w:rPr>
              <w:t></w:t>
            </w:r>
            <w:r w:rsidRPr="00CE1F5F">
              <w:rPr>
                <w:rFonts w:cs="Times New Roman"/>
                <w:sz w:val="18"/>
                <w:szCs w:val="18"/>
                <w:vertAlign w:val="superscript"/>
                <w:lang w:val="en-GB"/>
              </w:rPr>
              <w:t>2</w:t>
            </w:r>
          </w:p>
        </w:tc>
        <w:tc>
          <w:tcPr>
            <w:tcW w:w="1276" w:type="dxa"/>
          </w:tcPr>
          <w:p w14:paraId="73F8168B"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134" w:type="dxa"/>
          </w:tcPr>
          <w:p w14:paraId="0F85D8EC"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418" w:type="dxa"/>
          </w:tcPr>
          <w:p w14:paraId="1CDF841E" w14:textId="77777777" w:rsidR="00594E75" w:rsidRPr="00CE1F5F" w:rsidRDefault="00594E75" w:rsidP="00594E75">
            <w:pPr>
              <w:pStyle w:val="TableText"/>
              <w:keepNext/>
              <w:keepLines/>
              <w:snapToGrid w:val="0"/>
              <w:spacing w:before="0" w:after="0" w:line="240" w:lineRule="atLeast"/>
              <w:ind w:left="0" w:right="0"/>
              <w:cnfStyle w:val="000000000000" w:firstRow="0" w:lastRow="0" w:firstColumn="0" w:lastColumn="0" w:oddVBand="0" w:evenVBand="0" w:oddHBand="0" w:evenHBand="0" w:firstRowFirstColumn="0" w:firstRowLastColumn="0" w:lastRowFirstColumn="0" w:lastRowLastColumn="0"/>
              <w:rPr>
                <w:rFonts w:cs="Times New Roman"/>
                <w:sz w:val="18"/>
                <w:szCs w:val="18"/>
                <w:vertAlign w:val="superscript"/>
                <w:lang w:val="en-GB"/>
              </w:rPr>
            </w:pPr>
          </w:p>
        </w:tc>
        <w:tc>
          <w:tcPr>
            <w:tcW w:w="1559" w:type="dxa"/>
          </w:tcPr>
          <w:p w14:paraId="45DC3715"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NI</w:t>
            </w:r>
          </w:p>
        </w:tc>
        <w:tc>
          <w:tcPr>
            <w:tcW w:w="987" w:type="dxa"/>
          </w:tcPr>
          <w:p w14:paraId="2C3A05B5"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NI</w:t>
            </w:r>
          </w:p>
        </w:tc>
      </w:tr>
      <w:tr w:rsidR="00594E75" w:rsidRPr="00CE1F5F" w14:paraId="11BA67D3"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320ED8B1"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Spain</w:t>
            </w:r>
          </w:p>
        </w:tc>
        <w:tc>
          <w:tcPr>
            <w:tcW w:w="1134" w:type="dxa"/>
          </w:tcPr>
          <w:p w14:paraId="7E9BDE5B"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276" w:type="dxa"/>
          </w:tcPr>
          <w:p w14:paraId="3CAE4404"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134" w:type="dxa"/>
          </w:tcPr>
          <w:p w14:paraId="04742A25"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vertAlign w:val="superscript"/>
                <w:lang w:val="en-GB"/>
              </w:rPr>
            </w:pPr>
            <w:r w:rsidRPr="00CE1F5F">
              <w:rPr>
                <w:rFonts w:eastAsia="Wingdings" w:cs="Times New Roman"/>
                <w:sz w:val="18"/>
                <w:szCs w:val="18"/>
                <w:lang w:val="en-GB"/>
              </w:rPr>
              <w:t></w:t>
            </w:r>
            <w:r w:rsidRPr="00CE1F5F">
              <w:rPr>
                <w:rFonts w:cs="Times New Roman"/>
                <w:sz w:val="18"/>
                <w:szCs w:val="18"/>
                <w:vertAlign w:val="superscript"/>
                <w:lang w:val="en-GB"/>
              </w:rPr>
              <w:t>1</w:t>
            </w:r>
          </w:p>
        </w:tc>
        <w:tc>
          <w:tcPr>
            <w:tcW w:w="1418" w:type="dxa"/>
          </w:tcPr>
          <w:p w14:paraId="77817500"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vertAlign w:val="superscript"/>
                <w:lang w:val="en-GB"/>
              </w:rPr>
            </w:pPr>
            <w:r w:rsidRPr="00CE1F5F">
              <w:rPr>
                <w:rFonts w:eastAsia="Wingdings" w:cs="Times New Roman"/>
                <w:sz w:val="18"/>
                <w:szCs w:val="18"/>
                <w:lang w:val="en-GB"/>
              </w:rPr>
              <w:t></w:t>
            </w:r>
            <w:r w:rsidRPr="00CE1F5F">
              <w:rPr>
                <w:rFonts w:cs="Times New Roman"/>
                <w:sz w:val="18"/>
                <w:szCs w:val="18"/>
                <w:vertAlign w:val="superscript"/>
                <w:lang w:val="en-GB"/>
              </w:rPr>
              <w:t>3</w:t>
            </w:r>
          </w:p>
        </w:tc>
        <w:tc>
          <w:tcPr>
            <w:tcW w:w="1559" w:type="dxa"/>
          </w:tcPr>
          <w:p w14:paraId="3C727D9B"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713</w:t>
            </w:r>
          </w:p>
        </w:tc>
        <w:tc>
          <w:tcPr>
            <w:tcW w:w="987" w:type="dxa"/>
          </w:tcPr>
          <w:p w14:paraId="0F497FD9"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31</w:t>
            </w:r>
          </w:p>
        </w:tc>
      </w:tr>
      <w:tr w:rsidR="00594E75" w:rsidRPr="00CE1F5F" w14:paraId="0BFD78AA" w14:textId="77777777" w:rsidTr="00AD50C5">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372DC1C6"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Sweden</w:t>
            </w:r>
          </w:p>
        </w:tc>
        <w:tc>
          <w:tcPr>
            <w:tcW w:w="1134" w:type="dxa"/>
          </w:tcPr>
          <w:p w14:paraId="716FA4A4"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276" w:type="dxa"/>
          </w:tcPr>
          <w:p w14:paraId="630C0E01"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134" w:type="dxa"/>
          </w:tcPr>
          <w:p w14:paraId="608221E4"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418" w:type="dxa"/>
          </w:tcPr>
          <w:p w14:paraId="7B5B0662"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NI</w:t>
            </w:r>
          </w:p>
        </w:tc>
        <w:tc>
          <w:tcPr>
            <w:tcW w:w="1559" w:type="dxa"/>
          </w:tcPr>
          <w:p w14:paraId="6E10E6A5"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480</w:t>
            </w:r>
          </w:p>
        </w:tc>
        <w:tc>
          <w:tcPr>
            <w:tcW w:w="987" w:type="dxa"/>
          </w:tcPr>
          <w:p w14:paraId="196D2A53" w14:textId="77777777" w:rsidR="00594E75" w:rsidRPr="00CE1F5F" w:rsidRDefault="00594E75" w:rsidP="00594E75">
            <w:pPr>
              <w:pStyle w:val="TableText"/>
              <w:keepNext/>
              <w:keepLines/>
              <w:snapToGrid w:val="0"/>
              <w:spacing w:before="0" w:after="0" w:line="240" w:lineRule="atLeast"/>
              <w:ind w:left="0" w:righ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25</w:t>
            </w:r>
          </w:p>
        </w:tc>
      </w:tr>
      <w:tr w:rsidR="00594E75" w:rsidRPr="00CE1F5F" w14:paraId="464C877A"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1E8BCD"/>
          </w:tcPr>
          <w:p w14:paraId="160AC250"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Taiwan</w:t>
            </w:r>
          </w:p>
        </w:tc>
        <w:tc>
          <w:tcPr>
            <w:tcW w:w="1134" w:type="dxa"/>
          </w:tcPr>
          <w:p w14:paraId="35CD4583"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276" w:type="dxa"/>
          </w:tcPr>
          <w:p w14:paraId="1EF09340"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sz w:val="18"/>
                <w:szCs w:val="18"/>
                <w:lang w:val="en-GB"/>
              </w:rPr>
              <w:t></w:t>
            </w:r>
          </w:p>
        </w:tc>
        <w:tc>
          <w:tcPr>
            <w:tcW w:w="1134" w:type="dxa"/>
          </w:tcPr>
          <w:p w14:paraId="0E4DBDDE"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418" w:type="dxa"/>
          </w:tcPr>
          <w:p w14:paraId="5779A94A"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NI</w:t>
            </w:r>
          </w:p>
        </w:tc>
        <w:tc>
          <w:tcPr>
            <w:tcW w:w="1559" w:type="dxa"/>
          </w:tcPr>
          <w:p w14:paraId="71606C33"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NI</w:t>
            </w:r>
          </w:p>
        </w:tc>
        <w:tc>
          <w:tcPr>
            <w:tcW w:w="987" w:type="dxa"/>
          </w:tcPr>
          <w:p w14:paraId="1B23C515" w14:textId="77777777" w:rsidR="00594E75" w:rsidRPr="00CE1F5F" w:rsidRDefault="00594E75" w:rsidP="00594E75">
            <w:pPr>
              <w:pStyle w:val="TableText"/>
              <w:keepNext/>
              <w:keepLines/>
              <w:snapToGrid w:val="0"/>
              <w:spacing w:before="0" w:after="0" w:line="240" w:lineRule="atLeast"/>
              <w:ind w:left="0" w:righ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NI</w:t>
            </w:r>
          </w:p>
        </w:tc>
      </w:tr>
    </w:tbl>
    <w:p w14:paraId="5C74A0FA" w14:textId="77777777" w:rsidR="00594E75" w:rsidRDefault="00594E75" w:rsidP="00594E75">
      <w:pPr>
        <w:snapToGrid w:val="0"/>
        <w:spacing w:afterLines="50" w:after="200" w:line="240" w:lineRule="auto"/>
        <w:ind w:leftChars="122" w:left="707" w:hangingChars="207" w:hanging="422"/>
        <w:rPr>
          <w:rFonts w:ascii="ＭＳ Ｐ明朝" w:hAnsi="ＭＳ Ｐ明朝"/>
          <w:sz w:val="18"/>
          <w:szCs w:val="18"/>
          <w:lang w:val="en-GB" w:eastAsia="ja-JP"/>
        </w:rPr>
      </w:pPr>
    </w:p>
    <w:p w14:paraId="057AA5FC" w14:textId="164E7F41" w:rsidR="00E14F70" w:rsidRPr="00594E75" w:rsidRDefault="00E14F70" w:rsidP="00594E75">
      <w:pPr>
        <w:snapToGrid w:val="0"/>
        <w:spacing w:afterLines="50" w:after="200" w:line="240" w:lineRule="auto"/>
        <w:ind w:leftChars="122" w:left="707" w:hangingChars="207" w:hanging="422"/>
        <w:rPr>
          <w:rFonts w:ascii="ＭＳ Ｐ明朝" w:hAnsi="ＭＳ Ｐ明朝"/>
          <w:sz w:val="18"/>
          <w:szCs w:val="18"/>
          <w:lang w:val="en-GB" w:eastAsia="ja-JP"/>
        </w:rPr>
      </w:pPr>
      <w:r w:rsidRPr="00594E75">
        <w:rPr>
          <w:rFonts w:ascii="ＭＳ Ｐ明朝" w:hAnsi="ＭＳ Ｐ明朝" w:hint="eastAsia"/>
          <w:sz w:val="18"/>
          <w:szCs w:val="18"/>
          <w:lang w:val="en-GB" w:eastAsia="ja-JP"/>
        </w:rPr>
        <w:t>出典：Newton M. et al. EFPIA Patients W.A.I.T Indicator 2022 Survey (IQVIA, 2023) [3-4]。</w:t>
      </w:r>
    </w:p>
    <w:p w14:paraId="6FBBEDBE" w14:textId="77777777" w:rsidR="00E14F70" w:rsidRPr="00594E75" w:rsidRDefault="00E14F70" w:rsidP="00594E75">
      <w:pPr>
        <w:snapToGrid w:val="0"/>
        <w:spacing w:afterLines="50" w:after="200" w:line="240" w:lineRule="auto"/>
        <w:ind w:leftChars="122" w:left="707" w:hangingChars="207" w:hanging="422"/>
        <w:rPr>
          <w:rFonts w:ascii="ＭＳ Ｐ明朝" w:hAnsi="ＭＳ Ｐ明朝"/>
          <w:sz w:val="18"/>
          <w:szCs w:val="18"/>
          <w:lang w:val="en-GB" w:eastAsia="ja-JP"/>
        </w:rPr>
      </w:pPr>
      <w:r w:rsidRPr="00594E75">
        <w:rPr>
          <w:rFonts w:ascii="ＭＳ Ｐ明朝" w:hAnsi="ＭＳ Ｐ明朝" w:hint="eastAsia"/>
          <w:sz w:val="18"/>
          <w:szCs w:val="18"/>
          <w:lang w:val="en-GB" w:eastAsia="ja-JP"/>
        </w:rPr>
        <w:t>略語：MA（販売承認）、NI（該当なし）。</w:t>
      </w:r>
    </w:p>
    <w:p w14:paraId="179C9048" w14:textId="77777777" w:rsidR="00E14F70" w:rsidRPr="00594E75" w:rsidRDefault="00E14F70" w:rsidP="00594E75">
      <w:pPr>
        <w:snapToGrid w:val="0"/>
        <w:spacing w:afterLines="50" w:after="200" w:line="240" w:lineRule="auto"/>
        <w:ind w:leftChars="122" w:left="707" w:hangingChars="207" w:hanging="422"/>
        <w:rPr>
          <w:rFonts w:ascii="ＭＳ Ｐ明朝" w:hAnsi="ＭＳ Ｐ明朝"/>
          <w:sz w:val="18"/>
          <w:szCs w:val="18"/>
          <w:lang w:val="en-GB" w:eastAsia="ja-JP"/>
        </w:rPr>
      </w:pPr>
      <w:r w:rsidRPr="00594E75">
        <w:rPr>
          <w:rFonts w:ascii="ＭＳ Ｐ明朝" w:hAnsi="ＭＳ Ｐ明朝" w:hint="eastAsia"/>
          <w:sz w:val="18"/>
          <w:szCs w:val="18"/>
          <w:lang w:val="en-GB" w:eastAsia="ja-JP"/>
        </w:rPr>
        <w:t>注：欧州全地域における上市までの期間中央値は、2018年から2021年までの期間を表している。</w:t>
      </w:r>
    </w:p>
    <w:p w14:paraId="26F168CE" w14:textId="77777777" w:rsidR="00594E75" w:rsidRDefault="00E14F70" w:rsidP="00594E75">
      <w:pPr>
        <w:snapToGrid w:val="0"/>
        <w:spacing w:afterLines="50" w:after="200" w:line="240" w:lineRule="auto"/>
        <w:ind w:leftChars="363" w:left="849"/>
        <w:rPr>
          <w:rFonts w:ascii="ＭＳ Ｐ明朝" w:hAnsi="ＭＳ Ｐ明朝"/>
          <w:sz w:val="18"/>
          <w:szCs w:val="18"/>
          <w:lang w:val="en-GB" w:eastAsia="ja-JP"/>
        </w:rPr>
      </w:pPr>
      <w:r w:rsidRPr="00594E75">
        <w:rPr>
          <w:rFonts w:ascii="ＭＳ Ｐ明朝" w:hAnsi="ＭＳ Ｐ明朝" w:hint="eastAsia"/>
          <w:sz w:val="18"/>
          <w:szCs w:val="18"/>
          <w:lang w:val="en-GB" w:eastAsia="ja-JP"/>
        </w:rPr>
        <w:t>希少疾患治療薬へのアクセスは地域によって異なる。</w:t>
      </w:r>
    </w:p>
    <w:p w14:paraId="74CDAB59" w14:textId="49FDC167" w:rsidR="00E14F70" w:rsidRPr="00594E75" w:rsidRDefault="00E14F70" w:rsidP="00594E75">
      <w:pPr>
        <w:snapToGrid w:val="0"/>
        <w:spacing w:afterLines="50" w:after="200" w:line="240" w:lineRule="auto"/>
        <w:ind w:leftChars="363" w:left="849"/>
        <w:rPr>
          <w:rFonts w:ascii="ＭＳ Ｐ明朝" w:hAnsi="ＭＳ Ｐ明朝"/>
          <w:sz w:val="18"/>
          <w:szCs w:val="18"/>
          <w:lang w:val="en-GB" w:eastAsia="ja-JP"/>
        </w:rPr>
      </w:pPr>
      <w:r w:rsidRPr="00594E75">
        <w:rPr>
          <w:rFonts w:ascii="ＭＳ Ｐ明朝" w:hAnsi="ＭＳ Ｐ明朝" w:hint="eastAsia"/>
          <w:sz w:val="18"/>
          <w:szCs w:val="18"/>
          <w:lang w:val="en-GB" w:eastAsia="ja-JP"/>
        </w:rPr>
        <w:t>すべての申請は個別に審査される。</w:t>
      </w:r>
    </w:p>
    <w:p w14:paraId="113376BD" w14:textId="77777777" w:rsidR="00E14F70" w:rsidRPr="00594E75" w:rsidRDefault="00E14F70" w:rsidP="00594E75">
      <w:pPr>
        <w:snapToGrid w:val="0"/>
        <w:spacing w:afterLines="50" w:after="200" w:line="240" w:lineRule="auto"/>
        <w:ind w:leftChars="363" w:left="849"/>
        <w:rPr>
          <w:rFonts w:ascii="ＭＳ Ｐ明朝" w:hAnsi="ＭＳ Ｐ明朝"/>
          <w:sz w:val="18"/>
          <w:szCs w:val="18"/>
          <w:lang w:val="en-GB" w:eastAsia="ja-JP"/>
        </w:rPr>
      </w:pPr>
      <w:r w:rsidRPr="00594E75">
        <w:rPr>
          <w:rFonts w:ascii="ＭＳ Ｐ明朝" w:hAnsi="ＭＳ Ｐ明朝" w:hint="eastAsia"/>
          <w:sz w:val="18"/>
          <w:szCs w:val="18"/>
          <w:lang w:val="en-GB" w:eastAsia="ja-JP"/>
        </w:rPr>
        <w:t>2009年勅令1015は現在見直し中である。</w:t>
      </w:r>
    </w:p>
    <w:p w14:paraId="7E5ED872" w14:textId="77777777" w:rsidR="00E14F70" w:rsidRPr="00594E75" w:rsidRDefault="00E14F70" w:rsidP="00594E75">
      <w:pPr>
        <w:snapToGrid w:val="0"/>
        <w:spacing w:afterLines="50" w:after="200" w:line="240" w:lineRule="auto"/>
        <w:ind w:leftChars="363" w:left="849"/>
        <w:rPr>
          <w:rFonts w:ascii="ＭＳ Ｐ明朝" w:hAnsi="ＭＳ Ｐ明朝"/>
          <w:sz w:val="18"/>
          <w:szCs w:val="18"/>
          <w:lang w:val="en-GB" w:eastAsia="ja-JP"/>
        </w:rPr>
      </w:pPr>
      <w:r w:rsidRPr="00594E75">
        <w:rPr>
          <w:rFonts w:ascii="ＭＳ Ｐ明朝" w:hAnsi="ＭＳ Ｐ明朝" w:hint="eastAsia"/>
          <w:sz w:val="18"/>
          <w:szCs w:val="18"/>
          <w:lang w:val="en-GB" w:eastAsia="ja-JP"/>
        </w:rPr>
        <w:t>薬事経済評価免除の経路（希少疾病用医薬品）に従った医薬品の販売承認取得後の上市までの平均時間。</w:t>
      </w:r>
    </w:p>
    <w:p w14:paraId="03604769" w14:textId="77777777" w:rsidR="00594E75" w:rsidRDefault="00E14F70" w:rsidP="00594E75">
      <w:pPr>
        <w:snapToGrid w:val="0"/>
        <w:spacing w:afterLines="50" w:after="200" w:line="240" w:lineRule="auto"/>
        <w:ind w:leftChars="363" w:left="849"/>
        <w:rPr>
          <w:rFonts w:ascii="ＭＳ Ｐ明朝" w:hAnsi="ＭＳ Ｐ明朝"/>
          <w:sz w:val="18"/>
          <w:szCs w:val="18"/>
          <w:lang w:val="en-GB" w:eastAsia="ja-JP"/>
        </w:rPr>
      </w:pPr>
      <w:r w:rsidRPr="00594E75">
        <w:rPr>
          <w:rFonts w:ascii="ＭＳ Ｐ明朝" w:hAnsi="ＭＳ Ｐ明朝" w:hint="eastAsia"/>
          <w:sz w:val="18"/>
          <w:szCs w:val="18"/>
          <w:lang w:val="en-GB" w:eastAsia="ja-JP"/>
        </w:rPr>
        <w:t>2019年までに韓国で承認された88/156の希少疾病用医薬品の指定が償還対象となっている。</w:t>
      </w:r>
    </w:p>
    <w:p w14:paraId="617CD15B" w14:textId="77777777" w:rsidR="00594E75" w:rsidRDefault="00594E75" w:rsidP="00594E75">
      <w:pPr>
        <w:snapToGrid w:val="0"/>
        <w:spacing w:afterLines="50" w:after="200" w:line="240" w:lineRule="auto"/>
        <w:ind w:leftChars="363" w:left="849"/>
        <w:rPr>
          <w:rFonts w:ascii="ＭＳ Ｐ明朝" w:hAnsi="ＭＳ Ｐ明朝"/>
          <w:sz w:val="18"/>
          <w:szCs w:val="18"/>
          <w:lang w:val="en-GB" w:eastAsia="ja-JP"/>
        </w:rPr>
      </w:pPr>
    </w:p>
    <w:p w14:paraId="7EF8B4C2" w14:textId="0C786794" w:rsidR="00594E75" w:rsidRPr="00594E75" w:rsidRDefault="00594E75" w:rsidP="00594E75">
      <w:pPr>
        <w:snapToGrid w:val="0"/>
        <w:spacing w:afterLines="50" w:after="200" w:line="240" w:lineRule="auto"/>
        <w:rPr>
          <w:rFonts w:ascii="ＭＳ Ｐ明朝" w:hAnsi="ＭＳ Ｐ明朝"/>
          <w:sz w:val="18"/>
          <w:szCs w:val="18"/>
          <w:lang w:val="en-GB" w:eastAsia="ja-JP"/>
        </w:rPr>
      </w:pPr>
    </w:p>
    <w:p w14:paraId="4EF7FC8F" w14:textId="79C08EAA" w:rsidR="00E14F70" w:rsidRPr="00E14F70" w:rsidRDefault="00594E75" w:rsidP="00594E75">
      <w:pPr>
        <w:spacing w:afterLines="50" w:after="200" w:line="240" w:lineRule="auto"/>
        <w:ind w:firstLineChars="100" w:firstLine="224"/>
        <w:rPr>
          <w:rFonts w:ascii="ＭＳ Ｐ明朝" w:hAnsi="ＭＳ Ｐ明朝"/>
          <w:sz w:val="20"/>
          <w:szCs w:val="20"/>
          <w:lang w:val="en-GB" w:eastAsia="ja-JP"/>
        </w:rPr>
      </w:pPr>
      <w:r>
        <w:rPr>
          <w:rFonts w:ascii="ＭＳ Ｐ明朝" w:hAnsi="ＭＳ Ｐ明朝" w:hint="eastAsia"/>
          <w:sz w:val="20"/>
          <w:szCs w:val="20"/>
          <w:lang w:val="en-GB" w:eastAsia="ja-JP"/>
        </w:rPr>
        <w:t>各国は</w:t>
      </w:r>
      <w:r w:rsidR="00E14F70" w:rsidRPr="00E14F70">
        <w:rPr>
          <w:rFonts w:ascii="ＭＳ Ｐ明朝" w:hAnsi="ＭＳ Ｐ明朝" w:hint="eastAsia"/>
          <w:sz w:val="20"/>
          <w:szCs w:val="20"/>
          <w:lang w:val="en-GB" w:eastAsia="ja-JP"/>
        </w:rPr>
        <w:t>、希少疾患治療薬に対する資金需要の高まりを認識している。オーファンドラッグの承認件数が増加していることに加え、疾患サブタイプの理解が進んだことで、特にがんに関して希少疾患とみなされる疾患の数が増えている。この市場が成長を続ける中、オーファンドラッグは医療予算にさらなる負担をかけ、支出の不確実性を高めている。これを受け、多くの国では、希少疾患および超希少疾患治療薬</w:t>
      </w:r>
      <w:r w:rsidR="00E14F70" w:rsidRPr="00E14F70">
        <w:rPr>
          <w:rFonts w:ascii="ＭＳ Ｐ明朝" w:hAnsi="ＭＳ Ｐ明朝" w:hint="eastAsia"/>
          <w:sz w:val="20"/>
          <w:szCs w:val="20"/>
          <w:lang w:val="en-GB" w:eastAsia="ja-JP"/>
        </w:rPr>
        <w:lastRenderedPageBreak/>
        <w:t>専用の財源プールを設置している（表2参照）。いずれの場合も、これらの予算は固定または毎年交渉される。</w:t>
      </w:r>
    </w:p>
    <w:p w14:paraId="1AA0E865" w14:textId="77777777" w:rsidR="00E14F70" w:rsidRPr="00E14F70" w:rsidRDefault="00E14F70" w:rsidP="00594E75">
      <w:pPr>
        <w:spacing w:afterLines="50" w:after="200" w:line="240" w:lineRule="auto"/>
        <w:rPr>
          <w:rFonts w:ascii="ＭＳ Ｐ明朝" w:hAnsi="ＭＳ Ｐ明朝"/>
          <w:sz w:val="20"/>
          <w:szCs w:val="20"/>
          <w:lang w:val="en-GB" w:eastAsia="ja-JP"/>
        </w:rPr>
      </w:pPr>
    </w:p>
    <w:p w14:paraId="2A003A7E" w14:textId="77777777" w:rsidR="00E14F70" w:rsidRPr="00594E75" w:rsidRDefault="00E14F70" w:rsidP="00594E75">
      <w:pPr>
        <w:spacing w:afterLines="50" w:after="200" w:line="240" w:lineRule="auto"/>
        <w:rPr>
          <w:rFonts w:ascii="ＭＳ Ｐ明朝" w:hAnsi="ＭＳ Ｐ明朝"/>
          <w:b/>
          <w:bCs/>
          <w:sz w:val="20"/>
          <w:szCs w:val="20"/>
          <w:lang w:val="en-GB" w:eastAsia="ja-JP"/>
        </w:rPr>
      </w:pPr>
      <w:r w:rsidRPr="00594E75">
        <w:rPr>
          <w:rFonts w:ascii="ＭＳ Ｐ明朝" w:hAnsi="ＭＳ Ｐ明朝" w:hint="eastAsia"/>
          <w:b/>
          <w:bCs/>
          <w:sz w:val="20"/>
          <w:szCs w:val="20"/>
          <w:lang w:val="en-GB" w:eastAsia="ja-JP"/>
        </w:rPr>
        <w:t>表2. 希少・超希少疾患の治療に指定されている基金がある国々</w:t>
      </w:r>
    </w:p>
    <w:tbl>
      <w:tblPr>
        <w:tblStyle w:val="LinedBlueTable"/>
        <w:tblW w:w="9356" w:type="dxa"/>
        <w:tblLook w:val="04A0" w:firstRow="1" w:lastRow="0" w:firstColumn="1" w:lastColumn="0" w:noHBand="0" w:noVBand="1"/>
        <w:tblCaption w:val="Countries with a separate pool of funds "/>
      </w:tblPr>
      <w:tblGrid>
        <w:gridCol w:w="2340"/>
        <w:gridCol w:w="2392"/>
        <w:gridCol w:w="4624"/>
      </w:tblGrid>
      <w:tr w:rsidR="00594E75" w:rsidRPr="00CE1F5F" w14:paraId="77E5F1E6" w14:textId="77777777" w:rsidTr="00594E75">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340" w:type="dxa"/>
            <w:shd w:val="clear" w:color="auto" w:fill="000000" w:themeFill="text1"/>
          </w:tcPr>
          <w:p w14:paraId="5AD836CE" w14:textId="77777777" w:rsidR="00594E75" w:rsidRPr="00CE1F5F" w:rsidRDefault="00594E75" w:rsidP="00594E75">
            <w:pPr>
              <w:pStyle w:val="TableHeading"/>
              <w:keepNext/>
              <w:keepLines/>
              <w:snapToGrid w:val="0"/>
              <w:spacing w:before="0" w:after="0" w:line="240" w:lineRule="atLeast"/>
              <w:rPr>
                <w:rFonts w:cs="Times New Roman"/>
                <w:sz w:val="18"/>
                <w:szCs w:val="18"/>
                <w:lang w:val="en-GB"/>
              </w:rPr>
            </w:pPr>
            <w:r w:rsidRPr="00CE1F5F">
              <w:rPr>
                <w:rFonts w:cs="Times New Roman"/>
                <w:sz w:val="18"/>
                <w:szCs w:val="18"/>
                <w:lang w:val="en-GB"/>
              </w:rPr>
              <w:t>Country</w:t>
            </w:r>
          </w:p>
        </w:tc>
        <w:tc>
          <w:tcPr>
            <w:tcW w:w="2392" w:type="dxa"/>
            <w:shd w:val="clear" w:color="auto" w:fill="1E8BCD"/>
          </w:tcPr>
          <w:p w14:paraId="33BB685C" w14:textId="77777777" w:rsidR="00594E75" w:rsidRPr="00CE1F5F" w:rsidRDefault="00594E75" w:rsidP="00594E75">
            <w:pPr>
              <w:pStyle w:val="TableHeading"/>
              <w:keepNext/>
              <w:keepLines/>
              <w:snapToGrid w:val="0"/>
              <w:spacing w:before="0" w:after="0" w:line="240" w:lineRule="atLeast"/>
              <w:cnfStyle w:val="100000000000" w:firstRow="1"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Fund</w:t>
            </w:r>
          </w:p>
        </w:tc>
        <w:tc>
          <w:tcPr>
            <w:tcW w:w="4624" w:type="dxa"/>
            <w:shd w:val="clear" w:color="auto" w:fill="1E8BCD"/>
          </w:tcPr>
          <w:p w14:paraId="379F5E00" w14:textId="77777777" w:rsidR="00594E75" w:rsidRPr="00CE1F5F" w:rsidRDefault="00594E75" w:rsidP="00594E75">
            <w:pPr>
              <w:pStyle w:val="TableHeading"/>
              <w:keepNext/>
              <w:keepLines/>
              <w:snapToGrid w:val="0"/>
              <w:spacing w:before="0" w:after="0" w:line="240" w:lineRule="atLeast"/>
              <w:cnfStyle w:val="100000000000" w:firstRow="1"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Budget</w:t>
            </w:r>
          </w:p>
        </w:tc>
      </w:tr>
      <w:tr w:rsidR="00594E75" w:rsidRPr="00CE1F5F" w14:paraId="4A8D3397" w14:textId="77777777" w:rsidTr="00594E75">
        <w:trPr>
          <w:trHeight w:val="331"/>
        </w:trPr>
        <w:tc>
          <w:tcPr>
            <w:cnfStyle w:val="001000000000" w:firstRow="0" w:lastRow="0" w:firstColumn="1" w:lastColumn="0" w:oddVBand="0" w:evenVBand="0" w:oddHBand="0" w:evenHBand="0" w:firstRowFirstColumn="0" w:firstRowLastColumn="0" w:lastRowFirstColumn="0" w:lastRowLastColumn="0"/>
            <w:tcW w:w="2340" w:type="dxa"/>
            <w:shd w:val="clear" w:color="auto" w:fill="1E8BCD"/>
          </w:tcPr>
          <w:p w14:paraId="4B7E04D5"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England/Wales</w:t>
            </w:r>
          </w:p>
        </w:tc>
        <w:tc>
          <w:tcPr>
            <w:tcW w:w="2392" w:type="dxa"/>
          </w:tcPr>
          <w:p w14:paraId="3C8C3805" w14:textId="77777777" w:rsidR="00594E75" w:rsidRPr="00CE1F5F" w:rsidRDefault="00594E75" w:rsidP="00594E75">
            <w:pPr>
              <w:pStyle w:val="TableText"/>
              <w:keepNext/>
              <w:keepLines/>
              <w:snapToGrid w:val="0"/>
              <w:spacing w:before="0"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IMF</w:t>
            </w:r>
          </w:p>
        </w:tc>
        <w:tc>
          <w:tcPr>
            <w:tcW w:w="4624" w:type="dxa"/>
          </w:tcPr>
          <w:p w14:paraId="6A4DED15" w14:textId="77777777" w:rsidR="00594E75" w:rsidRPr="00CE1F5F" w:rsidRDefault="00594E75" w:rsidP="00594E75">
            <w:pPr>
              <w:pStyle w:val="TableText"/>
              <w:keepNext/>
              <w:keepLines/>
              <w:snapToGrid w:val="0"/>
              <w:spacing w:before="0"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Fixed - £340 million</w:t>
            </w:r>
          </w:p>
        </w:tc>
      </w:tr>
      <w:tr w:rsidR="00594E75" w:rsidRPr="00CE1F5F" w14:paraId="7A1E584D" w14:textId="77777777" w:rsidTr="00594E75">
        <w:trPr>
          <w:cnfStyle w:val="000000010000" w:firstRow="0" w:lastRow="0" w:firstColumn="0" w:lastColumn="0" w:oddVBand="0" w:evenVBand="0" w:oddHBand="0" w:evenHBand="1"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340" w:type="dxa"/>
            <w:shd w:val="clear" w:color="auto" w:fill="1E8BCD"/>
          </w:tcPr>
          <w:p w14:paraId="26011674"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Scotland</w:t>
            </w:r>
          </w:p>
        </w:tc>
        <w:tc>
          <w:tcPr>
            <w:tcW w:w="2392" w:type="dxa"/>
            <w:shd w:val="clear" w:color="auto" w:fill="B7D4EF" w:themeFill="text2" w:themeFillTint="33"/>
          </w:tcPr>
          <w:p w14:paraId="12C71784" w14:textId="77777777" w:rsidR="00594E75" w:rsidRPr="00CE1F5F" w:rsidRDefault="00594E75" w:rsidP="00594E75">
            <w:pPr>
              <w:pStyle w:val="TableText"/>
              <w:keepNext/>
              <w:keepLines/>
              <w:snapToGrid w:val="0"/>
              <w:spacing w:before="0"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NMF</w:t>
            </w:r>
          </w:p>
        </w:tc>
        <w:tc>
          <w:tcPr>
            <w:tcW w:w="4624" w:type="dxa"/>
            <w:shd w:val="clear" w:color="auto" w:fill="B7D4EF" w:themeFill="text2" w:themeFillTint="33"/>
          </w:tcPr>
          <w:p w14:paraId="7ADDDF58" w14:textId="77777777" w:rsidR="00594E75" w:rsidRPr="00CE1F5F" w:rsidRDefault="00594E75" w:rsidP="00594E75">
            <w:pPr>
              <w:pStyle w:val="TableText"/>
              <w:keepNext/>
              <w:keepLines/>
              <w:snapToGrid w:val="0"/>
              <w:spacing w:before="0"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Funded through payments from the pharma industry under the PPRS</w:t>
            </w:r>
            <w:r w:rsidRPr="00CE1F5F">
              <w:rPr>
                <w:rFonts w:cs="Times New Roman"/>
                <w:sz w:val="18"/>
                <w:szCs w:val="18"/>
                <w:vertAlign w:val="superscript"/>
                <w:lang w:val="en-GB"/>
              </w:rPr>
              <w:t>1</w:t>
            </w:r>
            <w:r w:rsidRPr="00CE1F5F">
              <w:rPr>
                <w:rFonts w:cs="Times New Roman"/>
                <w:sz w:val="18"/>
                <w:szCs w:val="18"/>
                <w:lang w:val="en-GB"/>
              </w:rPr>
              <w:t xml:space="preserve">. Budget is allocated on a yearly basis. </w:t>
            </w:r>
          </w:p>
          <w:p w14:paraId="2CCE1C3F" w14:textId="77777777" w:rsidR="00594E75" w:rsidRPr="00CE1F5F" w:rsidRDefault="00594E75" w:rsidP="00594E75">
            <w:pPr>
              <w:pStyle w:val="TableText"/>
              <w:keepNext/>
              <w:keepLines/>
              <w:snapToGrid w:val="0"/>
              <w:spacing w:before="0"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£50 million (2021-2022)</w:t>
            </w:r>
          </w:p>
        </w:tc>
      </w:tr>
      <w:tr w:rsidR="00594E75" w:rsidRPr="00CE1F5F" w14:paraId="3625629C" w14:textId="77777777" w:rsidTr="00594E75">
        <w:trPr>
          <w:trHeight w:val="317"/>
        </w:trPr>
        <w:tc>
          <w:tcPr>
            <w:cnfStyle w:val="001000000000" w:firstRow="0" w:lastRow="0" w:firstColumn="1" w:lastColumn="0" w:oddVBand="0" w:evenVBand="0" w:oddHBand="0" w:evenHBand="0" w:firstRowFirstColumn="0" w:firstRowLastColumn="0" w:lastRowFirstColumn="0" w:lastRowLastColumn="0"/>
            <w:tcW w:w="2340" w:type="dxa"/>
            <w:shd w:val="clear" w:color="auto" w:fill="1E8BCD"/>
          </w:tcPr>
          <w:p w14:paraId="792E83BF"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Netherlands</w:t>
            </w:r>
          </w:p>
        </w:tc>
        <w:tc>
          <w:tcPr>
            <w:tcW w:w="2392" w:type="dxa"/>
          </w:tcPr>
          <w:p w14:paraId="0881274F" w14:textId="77777777" w:rsidR="00594E75" w:rsidRPr="00CE1F5F" w:rsidRDefault="00594E75" w:rsidP="00594E75">
            <w:pPr>
              <w:pStyle w:val="TableText"/>
              <w:keepNext/>
              <w:keepLines/>
              <w:snapToGrid w:val="0"/>
              <w:spacing w:before="0"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Conditional listing fund</w:t>
            </w:r>
          </w:p>
        </w:tc>
        <w:tc>
          <w:tcPr>
            <w:tcW w:w="4624" w:type="dxa"/>
          </w:tcPr>
          <w:p w14:paraId="5DCDAAFC" w14:textId="77777777" w:rsidR="00594E75" w:rsidRPr="00CE1F5F" w:rsidRDefault="00594E75" w:rsidP="00594E75">
            <w:pPr>
              <w:pStyle w:val="TableText"/>
              <w:keepNext/>
              <w:keepLines/>
              <w:snapToGrid w:val="0"/>
              <w:spacing w:before="0"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€26.8 million (2021)</w:t>
            </w:r>
          </w:p>
        </w:tc>
      </w:tr>
      <w:tr w:rsidR="00594E75" w:rsidRPr="00CE1F5F" w14:paraId="611C3063" w14:textId="77777777" w:rsidTr="00594E75">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40" w:type="dxa"/>
            <w:shd w:val="clear" w:color="auto" w:fill="1E8BCD"/>
          </w:tcPr>
          <w:p w14:paraId="5344C513"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New Zealand</w:t>
            </w:r>
          </w:p>
        </w:tc>
        <w:tc>
          <w:tcPr>
            <w:tcW w:w="2392" w:type="dxa"/>
          </w:tcPr>
          <w:p w14:paraId="104951E8" w14:textId="77777777" w:rsidR="00594E75" w:rsidRPr="00CE1F5F" w:rsidRDefault="00594E75" w:rsidP="00594E75">
            <w:pPr>
              <w:pStyle w:val="TableText"/>
              <w:keepNext/>
              <w:keepLines/>
              <w:snapToGrid w:val="0"/>
              <w:spacing w:before="0"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PHARMAC</w:t>
            </w:r>
          </w:p>
        </w:tc>
        <w:tc>
          <w:tcPr>
            <w:tcW w:w="4624" w:type="dxa"/>
          </w:tcPr>
          <w:p w14:paraId="67D7E940" w14:textId="77777777" w:rsidR="00594E75" w:rsidRPr="00CE1F5F" w:rsidRDefault="00594E75" w:rsidP="00594E75">
            <w:pPr>
              <w:pStyle w:val="TableText"/>
              <w:keepNext/>
              <w:keepLines/>
              <w:snapToGrid w:val="0"/>
              <w:spacing w:before="0"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 xml:space="preserve">Allocated budget of up to NZD$5 million for the rare disease fund. </w:t>
            </w:r>
          </w:p>
        </w:tc>
      </w:tr>
      <w:tr w:rsidR="00594E75" w:rsidRPr="00CE1F5F" w14:paraId="420CE311" w14:textId="77777777" w:rsidTr="00594E75">
        <w:trPr>
          <w:trHeight w:val="773"/>
        </w:trPr>
        <w:tc>
          <w:tcPr>
            <w:cnfStyle w:val="001000000000" w:firstRow="0" w:lastRow="0" w:firstColumn="1" w:lastColumn="0" w:oddVBand="0" w:evenVBand="0" w:oddHBand="0" w:evenHBand="0" w:firstRowFirstColumn="0" w:firstRowLastColumn="0" w:lastRowFirstColumn="0" w:lastRowLastColumn="0"/>
            <w:tcW w:w="2340" w:type="dxa"/>
            <w:shd w:val="clear" w:color="auto" w:fill="1E8BCD"/>
          </w:tcPr>
          <w:p w14:paraId="117934A3"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Singapore</w:t>
            </w:r>
          </w:p>
        </w:tc>
        <w:tc>
          <w:tcPr>
            <w:tcW w:w="2392" w:type="dxa"/>
            <w:shd w:val="clear" w:color="auto" w:fill="B7D4EF" w:themeFill="text2" w:themeFillTint="33"/>
          </w:tcPr>
          <w:p w14:paraId="71E50F8D" w14:textId="77777777" w:rsidR="00594E75" w:rsidRPr="00CE1F5F" w:rsidRDefault="00594E75" w:rsidP="00594E75">
            <w:pPr>
              <w:pStyle w:val="TableText"/>
              <w:keepNext/>
              <w:keepLines/>
              <w:snapToGrid w:val="0"/>
              <w:spacing w:before="0"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RDF</w:t>
            </w:r>
          </w:p>
        </w:tc>
        <w:tc>
          <w:tcPr>
            <w:tcW w:w="4624" w:type="dxa"/>
            <w:shd w:val="clear" w:color="auto" w:fill="B7D4EF" w:themeFill="text2" w:themeFillTint="33"/>
          </w:tcPr>
          <w:p w14:paraId="7B929938" w14:textId="77777777" w:rsidR="00594E75" w:rsidRPr="00CE1F5F" w:rsidRDefault="00594E75" w:rsidP="00594E75">
            <w:pPr>
              <w:pStyle w:val="TableText"/>
              <w:keepNext/>
              <w:keepLines/>
              <w:snapToGrid w:val="0"/>
              <w:spacing w:before="0"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3:1 matching contribution, government and public, respectively.</w:t>
            </w:r>
          </w:p>
        </w:tc>
      </w:tr>
      <w:tr w:rsidR="00594E75" w:rsidRPr="00CE1F5F" w14:paraId="65410E6A" w14:textId="77777777" w:rsidTr="00594E75">
        <w:trPr>
          <w:cnfStyle w:val="000000010000" w:firstRow="0" w:lastRow="0" w:firstColumn="0" w:lastColumn="0" w:oddVBand="0" w:evenVBand="0" w:oddHBand="0" w:evenHBand="1"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340" w:type="dxa"/>
            <w:shd w:val="clear" w:color="auto" w:fill="1E8BCD"/>
          </w:tcPr>
          <w:p w14:paraId="036FE868"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Italy</w:t>
            </w:r>
          </w:p>
        </w:tc>
        <w:tc>
          <w:tcPr>
            <w:tcW w:w="2392" w:type="dxa"/>
          </w:tcPr>
          <w:p w14:paraId="7733A077" w14:textId="77777777" w:rsidR="00594E75" w:rsidRPr="00CE1F5F" w:rsidRDefault="00594E75" w:rsidP="00594E75">
            <w:pPr>
              <w:pStyle w:val="TableText"/>
              <w:keepNext/>
              <w:keepLines/>
              <w:snapToGrid w:val="0"/>
              <w:spacing w:before="0"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AIFA 5%</w:t>
            </w:r>
          </w:p>
          <w:p w14:paraId="129FE866" w14:textId="77777777" w:rsidR="00594E75" w:rsidRPr="00CE1F5F" w:rsidRDefault="00594E75" w:rsidP="00594E75">
            <w:pPr>
              <w:pStyle w:val="TableText"/>
              <w:keepNext/>
              <w:keepLines/>
              <w:snapToGrid w:val="0"/>
              <w:spacing w:before="0"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p w14:paraId="1BA34B94" w14:textId="77777777" w:rsidR="00594E75" w:rsidRPr="00CE1F5F" w:rsidRDefault="00594E75" w:rsidP="00594E75">
            <w:pPr>
              <w:pStyle w:val="TableText"/>
              <w:keepNext/>
              <w:keepLines/>
              <w:snapToGrid w:val="0"/>
              <w:spacing w:before="0"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p w14:paraId="62971AEB" w14:textId="77777777" w:rsidR="00594E75" w:rsidRPr="00CE1F5F" w:rsidRDefault="00594E75" w:rsidP="00594E75">
            <w:pPr>
              <w:pStyle w:val="TableText"/>
              <w:keepNext/>
              <w:keepLines/>
              <w:snapToGrid w:val="0"/>
              <w:spacing w:before="0"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Innovative drug fund</w:t>
            </w:r>
          </w:p>
        </w:tc>
        <w:tc>
          <w:tcPr>
            <w:tcW w:w="4624" w:type="dxa"/>
          </w:tcPr>
          <w:p w14:paraId="59F0A560" w14:textId="77777777" w:rsidR="00594E75" w:rsidRPr="00CE1F5F" w:rsidRDefault="00594E75" w:rsidP="00594E75">
            <w:pPr>
              <w:pStyle w:val="TableText"/>
              <w:keepNext/>
              <w:keepLines/>
              <w:snapToGrid w:val="0"/>
              <w:spacing w:before="0"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 xml:space="preserve">5% tax on commercial expenses from all pharmaceutical companies. €10.5 million in 2021. </w:t>
            </w:r>
          </w:p>
          <w:p w14:paraId="00054552" w14:textId="77777777" w:rsidR="00594E75" w:rsidRPr="00CE1F5F" w:rsidRDefault="00594E75" w:rsidP="00594E75">
            <w:pPr>
              <w:pStyle w:val="TableText"/>
              <w:keepNext/>
              <w:keepLines/>
              <w:snapToGrid w:val="0"/>
              <w:spacing w:before="0"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cs="Times New Roman"/>
                <w:sz w:val="18"/>
                <w:szCs w:val="18"/>
                <w:lang w:val="en-GB"/>
              </w:rPr>
              <w:t>Dedicated fund for innovative drugs may apply (€500 million)</w:t>
            </w:r>
          </w:p>
        </w:tc>
      </w:tr>
      <w:tr w:rsidR="00594E75" w:rsidRPr="00CE1F5F" w14:paraId="7FD284B8" w14:textId="77777777" w:rsidTr="00594E75">
        <w:trPr>
          <w:trHeight w:val="288"/>
        </w:trPr>
        <w:tc>
          <w:tcPr>
            <w:cnfStyle w:val="001000000000" w:firstRow="0" w:lastRow="0" w:firstColumn="1" w:lastColumn="0" w:oddVBand="0" w:evenVBand="0" w:oddHBand="0" w:evenHBand="0" w:firstRowFirstColumn="0" w:firstRowLastColumn="0" w:lastRowFirstColumn="0" w:lastRowLastColumn="0"/>
            <w:tcW w:w="2340" w:type="dxa"/>
            <w:shd w:val="clear" w:color="auto" w:fill="1E8BCD"/>
          </w:tcPr>
          <w:p w14:paraId="0BD2D81F" w14:textId="77777777" w:rsidR="00594E75" w:rsidRPr="00CE1F5F" w:rsidRDefault="00594E75" w:rsidP="00594E75">
            <w:pPr>
              <w:pStyle w:val="TableText"/>
              <w:keepNext/>
              <w:keepLines/>
              <w:snapToGrid w:val="0"/>
              <w:spacing w:before="0" w:after="0" w:line="240" w:lineRule="atLeast"/>
              <w:rPr>
                <w:rFonts w:cs="Times New Roman"/>
                <w:sz w:val="18"/>
                <w:szCs w:val="18"/>
                <w:lang w:val="en-GB"/>
              </w:rPr>
            </w:pPr>
            <w:r w:rsidRPr="00CE1F5F">
              <w:rPr>
                <w:rFonts w:cs="Times New Roman"/>
                <w:sz w:val="18"/>
                <w:szCs w:val="18"/>
                <w:lang w:val="en-GB"/>
              </w:rPr>
              <w:t>Taiwan</w:t>
            </w:r>
          </w:p>
        </w:tc>
        <w:tc>
          <w:tcPr>
            <w:tcW w:w="2392" w:type="dxa"/>
            <w:shd w:val="clear" w:color="auto" w:fill="B7D4EF" w:themeFill="text2" w:themeFillTint="33"/>
          </w:tcPr>
          <w:p w14:paraId="32B9D5E9" w14:textId="77777777" w:rsidR="00594E75" w:rsidRPr="00CE1F5F" w:rsidRDefault="00594E75" w:rsidP="00594E75">
            <w:pPr>
              <w:pStyle w:val="TableText"/>
              <w:keepNext/>
              <w:keepLines/>
              <w:snapToGrid w:val="0"/>
              <w:spacing w:before="0"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NHI PBRS</w:t>
            </w:r>
          </w:p>
        </w:tc>
        <w:tc>
          <w:tcPr>
            <w:tcW w:w="4624" w:type="dxa"/>
            <w:shd w:val="clear" w:color="auto" w:fill="B7D4EF" w:themeFill="text2" w:themeFillTint="33"/>
          </w:tcPr>
          <w:p w14:paraId="1E500B69" w14:textId="77777777" w:rsidR="00594E75" w:rsidRPr="00CE1F5F" w:rsidRDefault="00594E75" w:rsidP="00594E75">
            <w:pPr>
              <w:pStyle w:val="TableText"/>
              <w:keepNext/>
              <w:keepLines/>
              <w:snapToGrid w:val="0"/>
              <w:spacing w:before="0"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cs="Times New Roman"/>
                <w:sz w:val="18"/>
                <w:szCs w:val="18"/>
                <w:lang w:val="en-GB"/>
              </w:rPr>
              <w:t>Negotiated on a yearly basis.</w:t>
            </w:r>
          </w:p>
        </w:tc>
      </w:tr>
    </w:tbl>
    <w:p w14:paraId="76117231" w14:textId="77777777" w:rsidR="00594E75" w:rsidRDefault="00594E75" w:rsidP="00594E75">
      <w:pPr>
        <w:snapToGrid w:val="0"/>
        <w:spacing w:afterLines="50" w:after="200" w:line="240" w:lineRule="auto"/>
        <w:rPr>
          <w:rFonts w:ascii="ＭＳ Ｐ明朝" w:hAnsi="ＭＳ Ｐ明朝"/>
          <w:sz w:val="18"/>
          <w:szCs w:val="18"/>
          <w:lang w:val="en-GB" w:eastAsia="ja-JP"/>
        </w:rPr>
      </w:pPr>
    </w:p>
    <w:p w14:paraId="65D0B868" w14:textId="5B736C5F" w:rsidR="00E14F70" w:rsidRPr="00594E75" w:rsidRDefault="00E14F70" w:rsidP="00594E75">
      <w:pPr>
        <w:snapToGrid w:val="0"/>
        <w:spacing w:afterLines="50" w:after="200" w:line="240" w:lineRule="auto"/>
        <w:rPr>
          <w:rFonts w:ascii="ＭＳ Ｐ明朝" w:hAnsi="ＭＳ Ｐ明朝"/>
          <w:sz w:val="18"/>
          <w:szCs w:val="18"/>
          <w:lang w:val="en-GB" w:eastAsia="ja-JP"/>
        </w:rPr>
      </w:pPr>
      <w:r w:rsidRPr="00594E75">
        <w:rPr>
          <w:rFonts w:ascii="ＭＳ Ｐ明朝" w:hAnsi="ＭＳ Ｐ明朝" w:hint="eastAsia"/>
          <w:sz w:val="18"/>
          <w:szCs w:val="18"/>
          <w:lang w:val="en-GB" w:eastAsia="ja-JP"/>
        </w:rPr>
        <w:t>略語：IMF（Innovative Medicines Fund）、NMF（New Medicines Fund）、PHARMAC（Pharmaceutical Management Agency、ニュージーランド）、RDF（Rare Disease Fund）、AIFA（</w:t>
      </w:r>
      <w:proofErr w:type="spellStart"/>
      <w:r w:rsidRPr="00594E75">
        <w:rPr>
          <w:rFonts w:ascii="ＭＳ Ｐ明朝" w:hAnsi="ＭＳ Ｐ明朝" w:hint="eastAsia"/>
          <w:sz w:val="18"/>
          <w:szCs w:val="18"/>
          <w:lang w:val="en-GB" w:eastAsia="ja-JP"/>
        </w:rPr>
        <w:t>Agenzia</w:t>
      </w:r>
      <w:proofErr w:type="spellEnd"/>
      <w:r w:rsidRPr="00594E75">
        <w:rPr>
          <w:rFonts w:ascii="ＭＳ Ｐ明朝" w:hAnsi="ＭＳ Ｐ明朝" w:hint="eastAsia"/>
          <w:sz w:val="18"/>
          <w:szCs w:val="18"/>
          <w:lang w:val="en-GB" w:eastAsia="ja-JP"/>
        </w:rPr>
        <w:t xml:space="preserve"> </w:t>
      </w:r>
      <w:proofErr w:type="spellStart"/>
      <w:r w:rsidRPr="00594E75">
        <w:rPr>
          <w:rFonts w:ascii="ＭＳ Ｐ明朝" w:hAnsi="ＭＳ Ｐ明朝" w:hint="eastAsia"/>
          <w:sz w:val="18"/>
          <w:szCs w:val="18"/>
          <w:lang w:val="en-GB" w:eastAsia="ja-JP"/>
        </w:rPr>
        <w:t>Italiana</w:t>
      </w:r>
      <w:proofErr w:type="spellEnd"/>
      <w:r w:rsidRPr="00594E75">
        <w:rPr>
          <w:rFonts w:ascii="ＭＳ Ｐ明朝" w:hAnsi="ＭＳ Ｐ明朝" w:hint="eastAsia"/>
          <w:sz w:val="18"/>
          <w:szCs w:val="18"/>
          <w:lang w:val="en-GB" w:eastAsia="ja-JP"/>
        </w:rPr>
        <w:t xml:space="preserve"> del </w:t>
      </w:r>
      <w:proofErr w:type="spellStart"/>
      <w:r w:rsidRPr="00594E75">
        <w:rPr>
          <w:rFonts w:ascii="ＭＳ Ｐ明朝" w:hAnsi="ＭＳ Ｐ明朝" w:hint="eastAsia"/>
          <w:sz w:val="18"/>
          <w:szCs w:val="18"/>
          <w:lang w:val="en-GB" w:eastAsia="ja-JP"/>
        </w:rPr>
        <w:t>Farmaco</w:t>
      </w:r>
      <w:proofErr w:type="spellEnd"/>
      <w:r w:rsidRPr="00594E75">
        <w:rPr>
          <w:rFonts w:ascii="ＭＳ Ｐ明朝" w:hAnsi="ＭＳ Ｐ明朝" w:hint="eastAsia"/>
          <w:sz w:val="18"/>
          <w:szCs w:val="18"/>
          <w:lang w:val="en-GB" w:eastAsia="ja-JP"/>
        </w:rPr>
        <w:t>）、NHI（National Health Insurance Pharmaceutical Benefit Reimbursement Scheme）。</w:t>
      </w:r>
    </w:p>
    <w:p w14:paraId="133F564F" w14:textId="77777777" w:rsidR="00E14F70" w:rsidRPr="00594E75" w:rsidRDefault="00E14F70" w:rsidP="00594E75">
      <w:pPr>
        <w:snapToGrid w:val="0"/>
        <w:spacing w:afterLines="50" w:after="200" w:line="240" w:lineRule="auto"/>
        <w:rPr>
          <w:rFonts w:ascii="ＭＳ Ｐ明朝" w:hAnsi="ＭＳ Ｐ明朝"/>
          <w:sz w:val="18"/>
          <w:szCs w:val="18"/>
          <w:lang w:val="en-GB" w:eastAsia="ja-JP"/>
        </w:rPr>
      </w:pPr>
      <w:r w:rsidRPr="00594E75">
        <w:rPr>
          <w:rFonts w:ascii="ＭＳ Ｐ明朝" w:hAnsi="ＭＳ Ｐ明朝" w:hint="eastAsia"/>
          <w:sz w:val="18"/>
          <w:szCs w:val="18"/>
          <w:lang w:val="en-GB" w:eastAsia="ja-JP"/>
        </w:rPr>
        <w:t>注：1 英国保健省がNHSが高品質なブランド医薬品を適正な価格で入手できるようにするために採用している仕組み。</w:t>
      </w:r>
    </w:p>
    <w:p w14:paraId="7FDED715" w14:textId="77777777" w:rsidR="00E14F70" w:rsidRPr="00E14F70" w:rsidRDefault="00E14F70" w:rsidP="00594E75">
      <w:pPr>
        <w:spacing w:afterLines="50" w:after="200" w:line="240" w:lineRule="auto"/>
        <w:rPr>
          <w:rFonts w:ascii="ＭＳ Ｐ明朝" w:hAnsi="ＭＳ Ｐ明朝"/>
          <w:sz w:val="20"/>
          <w:szCs w:val="20"/>
          <w:lang w:val="en-GB" w:eastAsia="ja-JP"/>
        </w:rPr>
      </w:pPr>
    </w:p>
    <w:p w14:paraId="22EE3E49" w14:textId="77777777" w:rsidR="00E14F70" w:rsidRPr="00CE1F5F" w:rsidRDefault="00E14F70">
      <w:pPr>
        <w:pStyle w:val="a"/>
        <w:numPr>
          <w:ilvl w:val="0"/>
          <w:numId w:val="29"/>
        </w:numPr>
        <w:spacing w:afterLines="50" w:after="200" w:line="240" w:lineRule="auto"/>
        <w:ind w:leftChars="100" w:left="674" w:rightChars="48" w:right="112"/>
        <w:rPr>
          <w:rFonts w:ascii="ＭＳ Ｐ明朝" w:eastAsia="ＭＳ Ｐ明朝" w:hAnsi="ＭＳ Ｐ明朝"/>
          <w:sz w:val="20"/>
          <w:szCs w:val="20"/>
          <w:lang w:val="en-GB" w:eastAsia="ja-JP"/>
        </w:rPr>
      </w:pPr>
      <w:r w:rsidRPr="00CE1F5F">
        <w:rPr>
          <w:rFonts w:ascii="ＭＳ Ｐ明朝" w:eastAsia="ＭＳ Ｐ明朝" w:hAnsi="ＭＳ Ｐ明朝" w:hint="eastAsia"/>
          <w:sz w:val="20"/>
          <w:szCs w:val="20"/>
          <w:lang w:val="en-GB" w:eastAsia="ja-JP"/>
        </w:rPr>
        <w:t>一般的に、HTAプロセスにおける希少疾病用医薬品の特別な考慮事項は、以下の点を解決することを目的としている。</w:t>
      </w:r>
    </w:p>
    <w:p w14:paraId="28D84186" w14:textId="77777777" w:rsidR="00E14F70" w:rsidRPr="00E14F70" w:rsidRDefault="00E14F70" w:rsidP="00CE1F5F">
      <w:pPr>
        <w:spacing w:afterLines="50" w:after="200" w:line="240" w:lineRule="auto"/>
        <w:ind w:leftChars="100" w:left="234"/>
        <w:rPr>
          <w:rFonts w:ascii="ＭＳ Ｐ明朝" w:hAnsi="ＭＳ Ｐ明朝"/>
          <w:sz w:val="20"/>
          <w:szCs w:val="20"/>
          <w:lang w:val="en-GB" w:eastAsia="ja-JP"/>
        </w:rPr>
      </w:pPr>
    </w:p>
    <w:p w14:paraId="0B5684B4" w14:textId="77777777" w:rsidR="00E14F70" w:rsidRPr="00CE1F5F" w:rsidRDefault="00E14F70">
      <w:pPr>
        <w:pStyle w:val="a"/>
        <w:numPr>
          <w:ilvl w:val="0"/>
          <w:numId w:val="29"/>
        </w:numPr>
        <w:spacing w:afterLines="50" w:after="200" w:line="240" w:lineRule="auto"/>
        <w:ind w:leftChars="100" w:left="674" w:rightChars="48" w:right="112"/>
        <w:rPr>
          <w:rFonts w:ascii="ＭＳ Ｐ明朝" w:eastAsia="ＭＳ Ｐ明朝" w:hAnsi="ＭＳ Ｐ明朝"/>
          <w:sz w:val="20"/>
          <w:szCs w:val="20"/>
          <w:lang w:val="en-GB" w:eastAsia="ja-JP"/>
        </w:rPr>
      </w:pPr>
      <w:r w:rsidRPr="00CE1F5F">
        <w:rPr>
          <w:rFonts w:ascii="ＭＳ Ｐ明朝" w:eastAsia="ＭＳ Ｐ明朝" w:hAnsi="ＭＳ Ｐ明朝" w:hint="eastAsia"/>
          <w:sz w:val="20"/>
          <w:szCs w:val="20"/>
          <w:lang w:val="en-GB" w:eastAsia="ja-JP"/>
        </w:rPr>
        <w:t>希少疾患の臨床研究の実施が困難なため、臨床的エビデンスの不確実性、エビデンスの質に対する寛容さ、エビデンス要件の緩和が生じる。</w:t>
      </w:r>
    </w:p>
    <w:p w14:paraId="112DAAC3" w14:textId="77777777" w:rsidR="00E14F70" w:rsidRPr="00CE1F5F" w:rsidRDefault="00E14F70">
      <w:pPr>
        <w:pStyle w:val="a"/>
        <w:numPr>
          <w:ilvl w:val="0"/>
          <w:numId w:val="29"/>
        </w:numPr>
        <w:spacing w:afterLines="50" w:after="200" w:line="240" w:lineRule="auto"/>
        <w:ind w:leftChars="100" w:left="674" w:rightChars="48" w:right="112"/>
        <w:rPr>
          <w:rFonts w:ascii="ＭＳ Ｐ明朝" w:eastAsia="ＭＳ Ｐ明朝" w:hAnsi="ＭＳ Ｐ明朝"/>
          <w:sz w:val="20"/>
          <w:szCs w:val="20"/>
          <w:lang w:val="en-GB" w:eastAsia="ja-JP"/>
        </w:rPr>
      </w:pPr>
      <w:r w:rsidRPr="00CE1F5F">
        <w:rPr>
          <w:rFonts w:ascii="ＭＳ Ｐ明朝" w:eastAsia="ＭＳ Ｐ明朝" w:hAnsi="ＭＳ Ｐ明朝" w:hint="eastAsia"/>
          <w:sz w:val="20"/>
          <w:szCs w:val="20"/>
          <w:lang w:val="en-GB" w:eastAsia="ja-JP"/>
        </w:rPr>
        <w:t>保健および効率性に関する結果以外の影響—希少疾病用医薬品を評価する基準として費用対効果が用いられているにもかかわらず、費用対効果を証明できないことが必ずしも否定的な勧告につながるわけではない。これは、公平性の考慮が（明示的または暗示的に）考慮されたことを示唆している。一部の国では、これはより高いICERの受け入れにつながっている（例：イングランド/ウェールズ、韓国、オランダ、ノルウェー、スコットランド、スウェーデン）。一部の国では、</w:t>
      </w:r>
      <w:r w:rsidRPr="00CE1F5F">
        <w:rPr>
          <w:rFonts w:ascii="ＭＳ Ｐ明朝" w:eastAsia="ＭＳ Ｐ明朝" w:hAnsi="ＭＳ Ｐ明朝" w:hint="eastAsia"/>
          <w:sz w:val="20"/>
          <w:szCs w:val="20"/>
          <w:lang w:val="en-GB" w:eastAsia="ja-JP"/>
        </w:rPr>
        <w:lastRenderedPageBreak/>
        <w:t>疾患の重症度が高いほど、より高いICERの受け入れにつながることが示唆される証拠がある（例：イングランド/ウェールズ、オランダ、ノルウェー、スウェーデン）。</w:t>
      </w:r>
    </w:p>
    <w:p w14:paraId="1FFCA540" w14:textId="77777777" w:rsidR="00E14F70" w:rsidRPr="00CE1F5F" w:rsidRDefault="00E14F70">
      <w:pPr>
        <w:pStyle w:val="a"/>
        <w:numPr>
          <w:ilvl w:val="0"/>
          <w:numId w:val="29"/>
        </w:numPr>
        <w:spacing w:afterLines="50" w:after="200" w:line="240" w:lineRule="auto"/>
        <w:ind w:leftChars="100" w:left="674" w:rightChars="48" w:right="112"/>
        <w:rPr>
          <w:rFonts w:ascii="ＭＳ Ｐ明朝" w:eastAsia="ＭＳ Ｐ明朝" w:hAnsi="ＭＳ Ｐ明朝"/>
          <w:sz w:val="20"/>
          <w:szCs w:val="20"/>
          <w:lang w:val="en-GB" w:eastAsia="ja-JP"/>
        </w:rPr>
      </w:pPr>
      <w:r w:rsidRPr="00CE1F5F">
        <w:rPr>
          <w:rFonts w:ascii="ＭＳ Ｐ明朝" w:eastAsia="ＭＳ Ｐ明朝" w:hAnsi="ＭＳ Ｐ明朝" w:hint="eastAsia"/>
          <w:sz w:val="20"/>
          <w:szCs w:val="20"/>
          <w:lang w:val="en-GB" w:eastAsia="ja-JP"/>
        </w:rPr>
        <w:t>ステークホルダーの関与—分析対象となったほとんどの国では、特定の希少疾患領域に関する専門知識を持つ委員会を設置し、これらの疾患に内在する知識の欠如に対処している。スコットランドでは、患者と臨床医の関与（PACE）プロセスと呼ばれる特別なプロセスが導入され、これらのステークホルダーグループからの意見が確実に反映されるようになっている。</w:t>
      </w:r>
    </w:p>
    <w:p w14:paraId="3A5C5ABF" w14:textId="77777777" w:rsidR="00E14F70" w:rsidRDefault="00E14F70">
      <w:pPr>
        <w:pStyle w:val="a"/>
        <w:numPr>
          <w:ilvl w:val="0"/>
          <w:numId w:val="29"/>
        </w:numPr>
        <w:spacing w:afterLines="50" w:after="200" w:line="240" w:lineRule="auto"/>
        <w:ind w:leftChars="100" w:left="674" w:rightChars="48" w:right="112"/>
        <w:rPr>
          <w:rFonts w:ascii="ＭＳ Ｐ明朝" w:eastAsia="ＭＳ Ｐ明朝" w:hAnsi="ＭＳ Ｐ明朝"/>
          <w:sz w:val="20"/>
          <w:szCs w:val="20"/>
          <w:lang w:val="en-GB" w:eastAsia="ja-JP"/>
        </w:rPr>
      </w:pPr>
      <w:r w:rsidRPr="00CE1F5F">
        <w:rPr>
          <w:rFonts w:ascii="ＭＳ Ｐ明朝" w:eastAsia="ＭＳ Ｐ明朝" w:hAnsi="ＭＳ Ｐ明朝" w:hint="eastAsia"/>
          <w:sz w:val="20"/>
          <w:szCs w:val="20"/>
          <w:lang w:val="en-GB" w:eastAsia="ja-JP"/>
        </w:rPr>
        <w:t>早期アクセス—一部の国では、欧州医薬品評価委員会（CHMP）の肯定的な勧告に基づき、価格設定戦略および/または希少疾病用医薬品の申請が開始される場合、早期アクセスが可能である（例：ベルギー、イタリア、オランダ）。審査プロセスの短縮/合理化により、早期アクセスが実現している国もある。韓国では、レスキュールール（未充足のニーズ、生命を脅かす疾患、希少疾病用医薬品、平均余命の改善）が適用される場合、医薬品は直接価格交渉に回されることがある。スコットランドとイングランド/ウェールズでは、同様のプロセスが採用されており、それぞれ別の財源プール（ニュー・メディシンズ・ファンドとイノベーティブ・メディシンズ・ファンド）に支えられている。これにより、審査プロセスの短縮や費用対効果に関する特別な考慮（ICERの上昇など）が可能になる。ドイツでは、希少疾患（超希少疾患のみに限定されない）を対象とした医薬品すべてについて、追加的なベネフィットが事前に証明されたものとみなされ、迅速な承認審査が行われる合理化されたプロセスが導入されている。</w:t>
      </w:r>
    </w:p>
    <w:p w14:paraId="327CA873" w14:textId="77777777" w:rsidR="00CE1F5F" w:rsidRPr="00CE1F5F" w:rsidRDefault="00CE1F5F" w:rsidP="00CE1F5F">
      <w:pPr>
        <w:pStyle w:val="a"/>
        <w:numPr>
          <w:ilvl w:val="0"/>
          <w:numId w:val="0"/>
        </w:numPr>
        <w:spacing w:afterLines="50" w:after="200" w:line="240" w:lineRule="auto"/>
        <w:ind w:left="674" w:rightChars="48" w:right="112"/>
        <w:rPr>
          <w:rFonts w:ascii="ＭＳ Ｐ明朝" w:eastAsia="ＭＳ Ｐ明朝" w:hAnsi="ＭＳ Ｐ明朝"/>
          <w:sz w:val="20"/>
          <w:szCs w:val="20"/>
          <w:lang w:val="en-GB" w:eastAsia="ja-JP"/>
        </w:rPr>
      </w:pPr>
    </w:p>
    <w:p w14:paraId="04122AB5" w14:textId="77777777" w:rsidR="00E14F70" w:rsidRPr="00E14F70" w:rsidRDefault="00E14F70" w:rsidP="00CE1F5F">
      <w:pPr>
        <w:pStyle w:val="32"/>
        <w:rPr>
          <w:rFonts w:ascii="ＭＳ Ｐ明朝" w:eastAsia="ＭＳ Ｐ明朝" w:hAnsi="ＭＳ Ｐ明朝"/>
          <w:sz w:val="20"/>
          <w:szCs w:val="20"/>
          <w:lang w:val="en-GB" w:eastAsia="ja-JP"/>
        </w:rPr>
      </w:pPr>
      <w:r w:rsidRPr="00E14F70">
        <w:rPr>
          <w:rFonts w:ascii="ＭＳ Ｐ明朝" w:eastAsia="ＭＳ Ｐ明朝" w:hAnsi="ＭＳ Ｐ明朝" w:hint="eastAsia"/>
          <w:sz w:val="20"/>
          <w:szCs w:val="20"/>
          <w:lang w:val="en-GB" w:eastAsia="ja-JP"/>
        </w:rPr>
        <w:t>不確実性の管理</w:t>
      </w:r>
    </w:p>
    <w:p w14:paraId="4E67435A" w14:textId="77777777" w:rsidR="00CE1F5F" w:rsidRPr="00CE1F5F" w:rsidRDefault="00E14F70">
      <w:pPr>
        <w:pStyle w:val="a"/>
        <w:numPr>
          <w:ilvl w:val="0"/>
          <w:numId w:val="30"/>
        </w:numPr>
        <w:spacing w:afterLines="50" w:after="200" w:line="240" w:lineRule="auto"/>
        <w:rPr>
          <w:rFonts w:ascii="ＭＳ Ｐ明朝" w:hAnsi="ＭＳ Ｐ明朝"/>
          <w:sz w:val="20"/>
          <w:szCs w:val="20"/>
          <w:lang w:val="en-GB" w:eastAsia="ja-JP"/>
        </w:rPr>
      </w:pPr>
      <w:r w:rsidRPr="00CE1F5F">
        <w:rPr>
          <w:rFonts w:ascii="ＭＳ Ｐ明朝" w:eastAsia="ＭＳ Ｐ明朝" w:hAnsi="ＭＳ Ｐ明朝" w:hint="eastAsia"/>
          <w:sz w:val="20"/>
          <w:szCs w:val="20"/>
          <w:lang w:val="en-GB" w:eastAsia="ja-JP"/>
        </w:rPr>
        <w:t>国際的には、臨床効果や費用対効果に不確実性がある場合に、特に先進医療への患者の早期アクセスを確保するために、各国は多様な管理された参入契約（MEA）を採用している。</w:t>
      </w:r>
    </w:p>
    <w:p w14:paraId="266E4205" w14:textId="77777777" w:rsidR="00CE1F5F" w:rsidRPr="00CE1F5F" w:rsidRDefault="00E14F70">
      <w:pPr>
        <w:pStyle w:val="a"/>
        <w:numPr>
          <w:ilvl w:val="0"/>
          <w:numId w:val="30"/>
        </w:numPr>
        <w:spacing w:afterLines="50" w:after="200" w:line="240" w:lineRule="auto"/>
        <w:rPr>
          <w:rFonts w:ascii="ＭＳ Ｐ明朝" w:hAnsi="ＭＳ Ｐ明朝"/>
          <w:sz w:val="20"/>
          <w:szCs w:val="20"/>
          <w:lang w:val="en-GB" w:eastAsia="ja-JP"/>
        </w:rPr>
      </w:pPr>
      <w:r w:rsidRPr="00CE1F5F">
        <w:rPr>
          <w:rFonts w:ascii="ＭＳ Ｐ明朝" w:eastAsia="ＭＳ Ｐ明朝" w:hAnsi="ＭＳ Ｐ明朝" w:hint="eastAsia"/>
          <w:sz w:val="20"/>
          <w:szCs w:val="20"/>
          <w:lang w:val="en-GB" w:eastAsia="ja-JP"/>
        </w:rPr>
        <w:t>MEAは主に、腫瘍学や希少疾患における高額な治療に用いられている。新たな治療法に対応できるよう、MEAを改良するための革新的なアプローチが世界中で模索されている。</w:t>
      </w:r>
    </w:p>
    <w:p w14:paraId="47FD02A6" w14:textId="6A8FB70C" w:rsidR="00E14F70" w:rsidRPr="00CE1F5F" w:rsidRDefault="00E14F70">
      <w:pPr>
        <w:pStyle w:val="a"/>
        <w:numPr>
          <w:ilvl w:val="0"/>
          <w:numId w:val="30"/>
        </w:numPr>
        <w:spacing w:afterLines="50" w:after="200" w:line="240" w:lineRule="auto"/>
        <w:rPr>
          <w:rFonts w:ascii="ＭＳ Ｐ明朝" w:eastAsia="ＭＳ Ｐ明朝" w:hAnsi="ＭＳ Ｐ明朝"/>
          <w:sz w:val="20"/>
          <w:szCs w:val="20"/>
          <w:lang w:val="en-GB" w:eastAsia="ja-JP"/>
        </w:rPr>
      </w:pPr>
      <w:r w:rsidRPr="00CE1F5F">
        <w:rPr>
          <w:rFonts w:ascii="ＭＳ Ｐ明朝" w:eastAsia="ＭＳ Ｐ明朝" w:hAnsi="ＭＳ Ｐ明朝" w:hint="eastAsia"/>
          <w:sz w:val="20"/>
          <w:szCs w:val="20"/>
          <w:lang w:val="en-GB" w:eastAsia="ja-JP"/>
        </w:rPr>
        <w:t>MEAの実施にはいくつかの課題が明らかになっている。管理負担の軽減、透明性の向上、データインフラの強化、潜在的なリスクの検討は、効果的なMEAの枠組みにとって不可欠である。</w:t>
      </w:r>
    </w:p>
    <w:p w14:paraId="505B6A2D" w14:textId="77777777" w:rsidR="00E14F70" w:rsidRPr="00E14F70" w:rsidRDefault="00E14F70" w:rsidP="00594E75">
      <w:pPr>
        <w:spacing w:afterLines="50" w:after="200" w:line="240" w:lineRule="auto"/>
        <w:rPr>
          <w:rFonts w:ascii="ＭＳ Ｐ明朝" w:hAnsi="ＭＳ Ｐ明朝"/>
          <w:sz w:val="20"/>
          <w:szCs w:val="20"/>
          <w:lang w:val="en-GB" w:eastAsia="ja-JP"/>
        </w:rPr>
      </w:pPr>
    </w:p>
    <w:p w14:paraId="5E053250" w14:textId="77777777" w:rsidR="00E14F70" w:rsidRPr="00E14F70" w:rsidRDefault="00E14F70" w:rsidP="00CE1F5F">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医薬品、医療機器、医療処置を含む医療技術の複雑性と急速な進化を考えると、臨床、経済、財務上の不確実性を効果的に管理することは、公正で持続可能な価格設定と償還戦略を確保するために最も重要である。臨床上の不確実性は、医療技術の比較有効性と安全性に関連している。経済上の不確実性は、新製品の費用対効果を考慮し、財務上の不確実性は、医療システム内での製品の採用が予算に与える影響を特に懸念している。</w:t>
      </w:r>
    </w:p>
    <w:p w14:paraId="1A8CBD5C" w14:textId="77777777" w:rsidR="00E14F70" w:rsidRPr="00E14F70" w:rsidRDefault="00E14F70" w:rsidP="00CE1F5F">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lastRenderedPageBreak/>
        <w:t>MEAは、特に臨床的または費用対効果に不確実性がある場合に、患者が先進医療にタイムリーにアクセスできるよう、支払者とスポンサー間の戦略的取り決めとして採用されている。定義は様々であるが、MEAは一般的にOECDが定義した構造に従っている。これはMEAを3段階の分類体系に分類している。Tier 1は、合意内容（成果、実績、財務）を広く定義している。Tier 2は、この仕組みをレベル（患者または人口）に応じてさらに分類している。Tier 3では、合意メカニズム（リベート、割引、ボリューム、支出上限、成果に基づく支払い（</w:t>
      </w:r>
      <w:proofErr w:type="spellStart"/>
      <w:r w:rsidRPr="00E14F70">
        <w:rPr>
          <w:rFonts w:ascii="ＭＳ Ｐ明朝" w:hAnsi="ＭＳ Ｐ明朝" w:hint="eastAsia"/>
          <w:sz w:val="20"/>
          <w:szCs w:val="20"/>
          <w:lang w:val="en-GB" w:eastAsia="ja-JP"/>
        </w:rPr>
        <w:t>PbR</w:t>
      </w:r>
      <w:proofErr w:type="spellEnd"/>
      <w:r w:rsidRPr="00E14F70">
        <w:rPr>
          <w:rFonts w:ascii="ＭＳ Ｐ明朝" w:hAnsi="ＭＳ Ｐ明朝" w:hint="eastAsia"/>
          <w:sz w:val="20"/>
          <w:szCs w:val="20"/>
          <w:lang w:val="en-GB" w:eastAsia="ja-JP"/>
        </w:rPr>
        <w:t>）、エビデンス開発を伴う適用（CED）、条件付き治療継続（CTC））が規定されている。</w:t>
      </w:r>
    </w:p>
    <w:p w14:paraId="2456E4B4" w14:textId="77777777" w:rsidR="00E14F70" w:rsidRPr="00E14F70" w:rsidRDefault="00E14F70" w:rsidP="00CE1F5F">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成果ベースのMEAは、治療結果に支払いをリンクさせることで、新しい医療技術の臨床的、費用対効果、および財政的な不確実性に対処するために使用される。通常、治療結果は患者の反応として定義されるが、希少疾患の場合は代替指標も使用される。財政ベースのMEAは、価格管理、割引、またはリベートを通じて、新しい技術の予算への影響の管理を目的としている。ハイブリッドモデルも存在し、これは財務と実績に基づく合意の両方の要素を組み合わせたものである。すなわち、実績に関連する基準を考慮し、予算への影響の管理を目的としている。表3と表4は、財務と実績に基づくMEAの国際的な利用状況をまとめたものである。表はOECDの要約（2019年までの現行のものは灰色で表示）に基づいており、文献における最近の動向を反映するために更新されている（2019年から2023年までのものは黄色で表示）。</w:t>
      </w:r>
    </w:p>
    <w:p w14:paraId="34909B51" w14:textId="77777777" w:rsidR="00E14F70" w:rsidRPr="00E14F70" w:rsidRDefault="00E14F70" w:rsidP="00594E75">
      <w:pPr>
        <w:spacing w:afterLines="50" w:after="200" w:line="240" w:lineRule="auto"/>
        <w:rPr>
          <w:rFonts w:ascii="ＭＳ Ｐ明朝" w:hAnsi="ＭＳ Ｐ明朝"/>
          <w:sz w:val="20"/>
          <w:szCs w:val="20"/>
          <w:lang w:val="en-GB" w:eastAsia="ja-JP"/>
        </w:rPr>
      </w:pPr>
    </w:p>
    <w:p w14:paraId="2AA348AB" w14:textId="77777777" w:rsidR="00E14F70" w:rsidRPr="00CE1F5F" w:rsidRDefault="00E14F70" w:rsidP="00594E75">
      <w:pPr>
        <w:spacing w:afterLines="50" w:after="200" w:line="240" w:lineRule="auto"/>
        <w:rPr>
          <w:rFonts w:ascii="ＭＳ Ｐ明朝" w:hAnsi="ＭＳ Ｐ明朝"/>
          <w:b/>
          <w:bCs/>
          <w:sz w:val="20"/>
          <w:szCs w:val="20"/>
          <w:lang w:val="en-GB" w:eastAsia="ja-JP"/>
        </w:rPr>
      </w:pPr>
      <w:r w:rsidRPr="00CE1F5F">
        <w:rPr>
          <w:rFonts w:ascii="ＭＳ Ｐ明朝" w:hAnsi="ＭＳ Ｐ明朝" w:hint="eastAsia"/>
          <w:b/>
          <w:bCs/>
          <w:sz w:val="20"/>
          <w:szCs w:val="20"/>
          <w:lang w:val="en-GB" w:eastAsia="ja-JP"/>
        </w:rPr>
        <w:t>表3：金融分野における多国間協定の利用状況（種類別、国別）</w:t>
      </w:r>
    </w:p>
    <w:tbl>
      <w:tblPr>
        <w:tblStyle w:val="LinedBlueTable"/>
        <w:tblW w:w="9719" w:type="dxa"/>
        <w:tblLayout w:type="fixed"/>
        <w:tblLook w:val="04A0" w:firstRow="1" w:lastRow="0" w:firstColumn="1" w:lastColumn="0" w:noHBand="0" w:noVBand="1"/>
      </w:tblPr>
      <w:tblGrid>
        <w:gridCol w:w="2001"/>
        <w:gridCol w:w="1929"/>
        <w:gridCol w:w="1930"/>
        <w:gridCol w:w="1929"/>
        <w:gridCol w:w="1930"/>
      </w:tblGrid>
      <w:tr w:rsidR="00CE1F5F" w:rsidRPr="00CE1F5F" w14:paraId="741E5EB1" w14:textId="77777777" w:rsidTr="00CE1F5F">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01" w:type="dxa"/>
            <w:vMerge w:val="restart"/>
            <w:shd w:val="clear" w:color="auto" w:fill="000000" w:themeFill="text1"/>
            <w:noWrap/>
            <w:hideMark/>
          </w:tcPr>
          <w:p w14:paraId="743E0491" w14:textId="77777777" w:rsidR="00CE1F5F" w:rsidRPr="00CE1F5F" w:rsidRDefault="00CE1F5F" w:rsidP="00CE1F5F">
            <w:pPr>
              <w:snapToGrid w:val="0"/>
              <w:spacing w:after="0" w:line="240" w:lineRule="atLeast"/>
              <w:rPr>
                <w:rFonts w:eastAsia="Times New Roman" w:cs="Times New Roman"/>
                <w:b/>
                <w:color w:val="000000"/>
                <w:sz w:val="18"/>
                <w:szCs w:val="18"/>
                <w:lang w:val="en-GB" w:eastAsia="en-GB"/>
              </w:rPr>
            </w:pPr>
            <w:r w:rsidRPr="00CE1F5F">
              <w:rPr>
                <w:rFonts w:eastAsia="Times New Roman" w:cs="Times New Roman"/>
                <w:b/>
                <w:sz w:val="18"/>
                <w:szCs w:val="18"/>
                <w:lang w:val="en-GB" w:eastAsia="en-GB"/>
              </w:rPr>
              <w:t>Country</w:t>
            </w:r>
          </w:p>
        </w:tc>
        <w:tc>
          <w:tcPr>
            <w:tcW w:w="3859" w:type="dxa"/>
            <w:gridSpan w:val="2"/>
            <w:shd w:val="clear" w:color="auto" w:fill="0070C0"/>
            <w:noWrap/>
            <w:hideMark/>
          </w:tcPr>
          <w:p w14:paraId="0A42291D" w14:textId="77777777" w:rsidR="00CE1F5F" w:rsidRPr="00CE1F5F" w:rsidRDefault="00CE1F5F" w:rsidP="00CE1F5F">
            <w:pPr>
              <w:snapToGrid w:val="0"/>
              <w:spacing w:after="0" w:line="24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sz w:val="18"/>
                <w:szCs w:val="18"/>
                <w:lang w:val="en-GB" w:eastAsia="en-GB"/>
              </w:rPr>
            </w:pPr>
            <w:r w:rsidRPr="00CE1F5F">
              <w:rPr>
                <w:rFonts w:eastAsia="Times New Roman" w:cs="Times New Roman"/>
                <w:b/>
                <w:sz w:val="18"/>
                <w:szCs w:val="18"/>
                <w:lang w:val="en-GB" w:eastAsia="en-GB"/>
              </w:rPr>
              <w:t>Patient level</w:t>
            </w:r>
          </w:p>
        </w:tc>
        <w:tc>
          <w:tcPr>
            <w:tcW w:w="3859" w:type="dxa"/>
            <w:gridSpan w:val="2"/>
            <w:shd w:val="clear" w:color="auto" w:fill="0070C0"/>
            <w:noWrap/>
            <w:hideMark/>
          </w:tcPr>
          <w:p w14:paraId="272FE985" w14:textId="77777777" w:rsidR="00CE1F5F" w:rsidRPr="00CE1F5F" w:rsidRDefault="00CE1F5F" w:rsidP="00CE1F5F">
            <w:pPr>
              <w:snapToGrid w:val="0"/>
              <w:spacing w:after="0" w:line="24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sz w:val="18"/>
                <w:szCs w:val="18"/>
                <w:lang w:val="en-GB" w:eastAsia="en-GB"/>
              </w:rPr>
            </w:pPr>
            <w:r w:rsidRPr="00CE1F5F">
              <w:rPr>
                <w:rFonts w:eastAsia="Times New Roman" w:cs="Times New Roman"/>
                <w:b/>
                <w:sz w:val="18"/>
                <w:szCs w:val="18"/>
                <w:lang w:val="en-GB" w:eastAsia="en-GB"/>
              </w:rPr>
              <w:t>Population level</w:t>
            </w:r>
          </w:p>
        </w:tc>
      </w:tr>
      <w:tr w:rsidR="00CE1F5F" w:rsidRPr="00CE1F5F" w14:paraId="0D402AB7" w14:textId="77777777" w:rsidTr="00CE1F5F">
        <w:trPr>
          <w:trHeight w:val="760"/>
        </w:trPr>
        <w:tc>
          <w:tcPr>
            <w:cnfStyle w:val="001000000000" w:firstRow="0" w:lastRow="0" w:firstColumn="1" w:lastColumn="0" w:oddVBand="0" w:evenVBand="0" w:oddHBand="0" w:evenHBand="0" w:firstRowFirstColumn="0" w:firstRowLastColumn="0" w:lastRowFirstColumn="0" w:lastRowLastColumn="0"/>
            <w:tcW w:w="2001" w:type="dxa"/>
            <w:vMerge/>
            <w:shd w:val="clear" w:color="auto" w:fill="000000" w:themeFill="text1"/>
            <w:hideMark/>
          </w:tcPr>
          <w:p w14:paraId="4C23A22A" w14:textId="77777777" w:rsidR="00CE1F5F" w:rsidRPr="00CE1F5F" w:rsidRDefault="00CE1F5F" w:rsidP="00CE1F5F">
            <w:pPr>
              <w:snapToGrid w:val="0"/>
              <w:spacing w:after="0" w:line="240" w:lineRule="atLeast"/>
              <w:rPr>
                <w:rFonts w:eastAsia="Times New Roman" w:cs="Times New Roman"/>
                <w:b/>
                <w:color w:val="000000"/>
                <w:sz w:val="18"/>
                <w:szCs w:val="18"/>
                <w:lang w:val="en-GB" w:eastAsia="en-GB"/>
              </w:rPr>
            </w:pPr>
          </w:p>
        </w:tc>
        <w:tc>
          <w:tcPr>
            <w:tcW w:w="1929" w:type="dxa"/>
            <w:shd w:val="clear" w:color="auto" w:fill="0070C0"/>
            <w:hideMark/>
          </w:tcPr>
          <w:p w14:paraId="0E10F476"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FFFF" w:themeColor="background1"/>
                <w:sz w:val="18"/>
                <w:szCs w:val="18"/>
                <w:lang w:val="en-GB" w:eastAsia="en-GB"/>
              </w:rPr>
            </w:pPr>
            <w:r w:rsidRPr="00CE1F5F">
              <w:rPr>
                <w:rFonts w:eastAsia="Times New Roman" w:cs="Times New Roman"/>
                <w:b/>
                <w:color w:val="FFFFFF" w:themeColor="background1"/>
                <w:sz w:val="18"/>
                <w:szCs w:val="18"/>
                <w:lang w:val="en-GB" w:eastAsia="en-GB"/>
              </w:rPr>
              <w:t>Risk sharing/ cost sharing/discounts</w:t>
            </w:r>
          </w:p>
        </w:tc>
        <w:tc>
          <w:tcPr>
            <w:tcW w:w="1930" w:type="dxa"/>
            <w:shd w:val="clear" w:color="auto" w:fill="0070C0"/>
            <w:hideMark/>
          </w:tcPr>
          <w:p w14:paraId="3B7F061E"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FFFF" w:themeColor="background1"/>
                <w:sz w:val="18"/>
                <w:szCs w:val="18"/>
                <w:lang w:val="en-GB" w:eastAsia="en-GB"/>
              </w:rPr>
            </w:pPr>
            <w:r w:rsidRPr="00CE1F5F">
              <w:rPr>
                <w:rFonts w:eastAsia="Times New Roman" w:cs="Times New Roman"/>
                <w:b/>
                <w:color w:val="FFFFFF" w:themeColor="background1"/>
                <w:sz w:val="18"/>
                <w:szCs w:val="18"/>
                <w:lang w:val="en-GB" w:eastAsia="en-GB"/>
              </w:rPr>
              <w:t xml:space="preserve">Cost capping/free treatment </w:t>
            </w:r>
          </w:p>
        </w:tc>
        <w:tc>
          <w:tcPr>
            <w:tcW w:w="1929" w:type="dxa"/>
            <w:shd w:val="clear" w:color="auto" w:fill="0070C0"/>
            <w:hideMark/>
          </w:tcPr>
          <w:p w14:paraId="131A9008"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FFFF" w:themeColor="background1"/>
                <w:sz w:val="18"/>
                <w:szCs w:val="18"/>
                <w:lang w:val="en-GB" w:eastAsia="en-GB"/>
              </w:rPr>
            </w:pPr>
            <w:r w:rsidRPr="00CE1F5F">
              <w:rPr>
                <w:rFonts w:eastAsia="Times New Roman" w:cs="Times New Roman"/>
                <w:b/>
                <w:color w:val="FFFFFF" w:themeColor="background1"/>
                <w:sz w:val="18"/>
                <w:szCs w:val="18"/>
                <w:lang w:val="en-GB" w:eastAsia="en-GB"/>
              </w:rPr>
              <w:t>Product specific expenditure ceilings</w:t>
            </w:r>
          </w:p>
        </w:tc>
        <w:tc>
          <w:tcPr>
            <w:tcW w:w="1930" w:type="dxa"/>
            <w:shd w:val="clear" w:color="auto" w:fill="0070C0"/>
            <w:hideMark/>
          </w:tcPr>
          <w:p w14:paraId="7D14424B"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FFFF" w:themeColor="background1"/>
                <w:sz w:val="18"/>
                <w:szCs w:val="18"/>
                <w:lang w:val="en-GB" w:eastAsia="en-GB"/>
              </w:rPr>
            </w:pPr>
            <w:r w:rsidRPr="00CE1F5F">
              <w:rPr>
                <w:rFonts w:eastAsia="Times New Roman" w:cs="Times New Roman"/>
                <w:b/>
                <w:color w:val="FFFFFF" w:themeColor="background1"/>
                <w:sz w:val="18"/>
                <w:szCs w:val="18"/>
                <w:lang w:val="en-GB" w:eastAsia="en-GB"/>
              </w:rPr>
              <w:t xml:space="preserve">Price volume agreements </w:t>
            </w:r>
          </w:p>
        </w:tc>
      </w:tr>
      <w:tr w:rsidR="00CE1F5F" w:rsidRPr="00CE1F5F" w14:paraId="23838B20" w14:textId="77777777" w:rsidTr="00CE1F5F">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71B35E82"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Australia</w:t>
            </w:r>
            <w:r w:rsidRPr="00CE1F5F">
              <w:rPr>
                <w:rFonts w:eastAsia="Times New Roman" w:cs="Times New Roman"/>
                <w:sz w:val="18"/>
                <w:szCs w:val="18"/>
                <w:vertAlign w:val="superscript"/>
                <w:lang w:val="en-GB" w:eastAsia="en-GB"/>
              </w:rPr>
              <w:t>1</w:t>
            </w:r>
          </w:p>
        </w:tc>
        <w:tc>
          <w:tcPr>
            <w:tcW w:w="1929" w:type="dxa"/>
            <w:noWrap/>
            <w:hideMark/>
          </w:tcPr>
          <w:p w14:paraId="093D8BA1"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c>
          <w:tcPr>
            <w:tcW w:w="1930" w:type="dxa"/>
            <w:noWrap/>
            <w:hideMark/>
          </w:tcPr>
          <w:p w14:paraId="19225045"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c>
          <w:tcPr>
            <w:tcW w:w="1929" w:type="dxa"/>
            <w:noWrap/>
            <w:hideMark/>
          </w:tcPr>
          <w:p w14:paraId="546E240F"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Wingdings" w:cs="Times New Roman"/>
                <w:color w:val="FFC000"/>
                <w:sz w:val="18"/>
                <w:szCs w:val="18"/>
                <w:lang w:val="en-GB"/>
              </w:rPr>
              <w:t>þ</w:t>
            </w:r>
          </w:p>
        </w:tc>
        <w:tc>
          <w:tcPr>
            <w:tcW w:w="1930" w:type="dxa"/>
            <w:noWrap/>
            <w:hideMark/>
          </w:tcPr>
          <w:p w14:paraId="206A27BF"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r>
      <w:tr w:rsidR="00CE1F5F" w:rsidRPr="00CE1F5F" w14:paraId="1317BE3F" w14:textId="77777777" w:rsidTr="00CE1F5F">
        <w:trPr>
          <w:trHeight w:val="30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087D2212"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Belgium</w:t>
            </w:r>
            <w:r w:rsidRPr="00CE1F5F">
              <w:rPr>
                <w:rFonts w:eastAsia="Times New Roman" w:cs="Times New Roman"/>
                <w:sz w:val="18"/>
                <w:szCs w:val="18"/>
                <w:vertAlign w:val="superscript"/>
                <w:lang w:val="en-GB" w:eastAsia="en-GB"/>
              </w:rPr>
              <w:t>2</w:t>
            </w:r>
          </w:p>
        </w:tc>
        <w:tc>
          <w:tcPr>
            <w:tcW w:w="1929" w:type="dxa"/>
            <w:noWrap/>
            <w:hideMark/>
          </w:tcPr>
          <w:p w14:paraId="4390BF0A"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c>
          <w:tcPr>
            <w:tcW w:w="1930" w:type="dxa"/>
            <w:noWrap/>
            <w:hideMark/>
          </w:tcPr>
          <w:p w14:paraId="22FDCCCF"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p>
        </w:tc>
        <w:tc>
          <w:tcPr>
            <w:tcW w:w="1929" w:type="dxa"/>
            <w:noWrap/>
            <w:hideMark/>
          </w:tcPr>
          <w:p w14:paraId="7DA6E36F"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p>
        </w:tc>
        <w:tc>
          <w:tcPr>
            <w:tcW w:w="1930" w:type="dxa"/>
            <w:noWrap/>
            <w:hideMark/>
          </w:tcPr>
          <w:p w14:paraId="0670090C"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p>
        </w:tc>
      </w:tr>
      <w:tr w:rsidR="00CE1F5F" w:rsidRPr="00CE1F5F" w14:paraId="56D6DFC4" w14:textId="77777777" w:rsidTr="00CE1F5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10EA22CC"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Canada</w:t>
            </w:r>
            <w:r w:rsidRPr="00CE1F5F">
              <w:rPr>
                <w:rFonts w:eastAsia="Times New Roman" w:cs="Times New Roman"/>
                <w:sz w:val="18"/>
                <w:szCs w:val="18"/>
                <w:vertAlign w:val="superscript"/>
                <w:lang w:val="en-GB" w:eastAsia="en-GB"/>
              </w:rPr>
              <w:t>3</w:t>
            </w:r>
          </w:p>
        </w:tc>
        <w:tc>
          <w:tcPr>
            <w:tcW w:w="1929" w:type="dxa"/>
            <w:noWrap/>
            <w:hideMark/>
          </w:tcPr>
          <w:p w14:paraId="0145B086"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Wingdings" w:cs="Times New Roman"/>
                <w:color w:val="FFC000"/>
                <w:sz w:val="18"/>
                <w:szCs w:val="18"/>
                <w:lang w:val="en-GB"/>
              </w:rPr>
              <w:t>þ</w:t>
            </w:r>
          </w:p>
        </w:tc>
        <w:tc>
          <w:tcPr>
            <w:tcW w:w="1930" w:type="dxa"/>
            <w:noWrap/>
            <w:hideMark/>
          </w:tcPr>
          <w:p w14:paraId="6991B1EF"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Times New Roman" w:cs="Times New Roman"/>
                <w:color w:val="000000"/>
                <w:sz w:val="18"/>
                <w:szCs w:val="18"/>
                <w:lang w:val="en-GB" w:eastAsia="en-GB"/>
              </w:rPr>
              <w:t> </w:t>
            </w:r>
          </w:p>
        </w:tc>
        <w:tc>
          <w:tcPr>
            <w:tcW w:w="1929" w:type="dxa"/>
            <w:noWrap/>
            <w:hideMark/>
          </w:tcPr>
          <w:p w14:paraId="156412F1"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Times New Roman" w:cs="Times New Roman"/>
                <w:color w:val="000000"/>
                <w:sz w:val="18"/>
                <w:szCs w:val="18"/>
                <w:lang w:val="en-GB" w:eastAsia="en-GB"/>
              </w:rPr>
              <w:t> </w:t>
            </w:r>
          </w:p>
        </w:tc>
        <w:tc>
          <w:tcPr>
            <w:tcW w:w="1930" w:type="dxa"/>
            <w:noWrap/>
            <w:hideMark/>
          </w:tcPr>
          <w:p w14:paraId="3B3762D2"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Wingdings" w:cs="Times New Roman"/>
                <w:color w:val="FFC000"/>
                <w:sz w:val="18"/>
                <w:szCs w:val="18"/>
                <w:lang w:val="en-GB"/>
              </w:rPr>
              <w:t>þ</w:t>
            </w:r>
          </w:p>
        </w:tc>
      </w:tr>
      <w:tr w:rsidR="00CE1F5F" w:rsidRPr="00CE1F5F" w14:paraId="59B957BE" w14:textId="77777777" w:rsidTr="00CE1F5F">
        <w:trPr>
          <w:trHeight w:val="28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0C533501"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France</w:t>
            </w:r>
            <w:r w:rsidRPr="00CE1F5F">
              <w:rPr>
                <w:rFonts w:eastAsia="Times New Roman" w:cs="Times New Roman"/>
                <w:sz w:val="18"/>
                <w:szCs w:val="18"/>
                <w:vertAlign w:val="superscript"/>
                <w:lang w:val="en-GB" w:eastAsia="en-GB"/>
              </w:rPr>
              <w:t>4</w:t>
            </w:r>
          </w:p>
        </w:tc>
        <w:tc>
          <w:tcPr>
            <w:tcW w:w="1929" w:type="dxa"/>
            <w:noWrap/>
            <w:hideMark/>
          </w:tcPr>
          <w:p w14:paraId="6F250FD2"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GB" w:eastAsia="en-GB"/>
              </w:rPr>
            </w:pPr>
            <w:r w:rsidRPr="00CE1F5F">
              <w:rPr>
                <w:rFonts w:eastAsia="Wingdings" w:cs="Times New Roman"/>
                <w:color w:val="FFC000"/>
                <w:sz w:val="18"/>
                <w:szCs w:val="18"/>
                <w:lang w:val="en-GB"/>
              </w:rPr>
              <w:t>þ</w:t>
            </w:r>
          </w:p>
        </w:tc>
        <w:tc>
          <w:tcPr>
            <w:tcW w:w="1930" w:type="dxa"/>
            <w:noWrap/>
            <w:hideMark/>
          </w:tcPr>
          <w:p w14:paraId="7BDCEEC9"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GB" w:eastAsia="en-GB"/>
              </w:rPr>
            </w:pPr>
          </w:p>
        </w:tc>
        <w:tc>
          <w:tcPr>
            <w:tcW w:w="1929" w:type="dxa"/>
            <w:noWrap/>
            <w:hideMark/>
          </w:tcPr>
          <w:p w14:paraId="65C18CD4"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p>
        </w:tc>
        <w:tc>
          <w:tcPr>
            <w:tcW w:w="1930" w:type="dxa"/>
            <w:noWrap/>
            <w:hideMark/>
          </w:tcPr>
          <w:p w14:paraId="4D448BF0"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GB" w:eastAsia="en-GB"/>
              </w:rPr>
            </w:pPr>
            <w:r w:rsidRPr="00CE1F5F">
              <w:rPr>
                <w:rFonts w:eastAsia="Wingdings" w:cs="Times New Roman"/>
                <w:color w:val="FFC000"/>
                <w:sz w:val="18"/>
                <w:szCs w:val="18"/>
                <w:lang w:val="en-GB"/>
              </w:rPr>
              <w:t>þ</w:t>
            </w:r>
          </w:p>
        </w:tc>
      </w:tr>
      <w:tr w:rsidR="00CE1F5F" w:rsidRPr="00CE1F5F" w14:paraId="2CF39895" w14:textId="77777777" w:rsidTr="00CE1F5F">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366800E5"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Germany</w:t>
            </w:r>
            <w:r w:rsidRPr="00CE1F5F">
              <w:rPr>
                <w:rFonts w:eastAsia="Times New Roman" w:cs="Times New Roman"/>
                <w:sz w:val="18"/>
                <w:szCs w:val="18"/>
                <w:vertAlign w:val="superscript"/>
                <w:lang w:val="en-GB" w:eastAsia="en-GB"/>
              </w:rPr>
              <w:t>5</w:t>
            </w:r>
          </w:p>
        </w:tc>
        <w:tc>
          <w:tcPr>
            <w:tcW w:w="1929" w:type="dxa"/>
            <w:noWrap/>
            <w:hideMark/>
          </w:tcPr>
          <w:p w14:paraId="4EF7281C"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Times New Roman" w:cs="Times New Roman"/>
                <w:color w:val="000000"/>
                <w:sz w:val="18"/>
                <w:szCs w:val="18"/>
                <w:lang w:val="en-GB" w:eastAsia="en-GB"/>
              </w:rPr>
              <w:t> </w:t>
            </w:r>
          </w:p>
        </w:tc>
        <w:tc>
          <w:tcPr>
            <w:tcW w:w="1930" w:type="dxa"/>
            <w:noWrap/>
            <w:hideMark/>
          </w:tcPr>
          <w:p w14:paraId="7ACA889E"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Times New Roman" w:cs="Times New Roman"/>
                <w:color w:val="000000"/>
                <w:sz w:val="18"/>
                <w:szCs w:val="18"/>
                <w:lang w:val="en-GB" w:eastAsia="en-GB"/>
              </w:rPr>
              <w:t> </w:t>
            </w:r>
          </w:p>
        </w:tc>
        <w:tc>
          <w:tcPr>
            <w:tcW w:w="1929" w:type="dxa"/>
            <w:noWrap/>
            <w:hideMark/>
          </w:tcPr>
          <w:p w14:paraId="46E81C6B"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Times New Roman" w:cs="Times New Roman"/>
                <w:color w:val="000000"/>
                <w:sz w:val="18"/>
                <w:szCs w:val="18"/>
                <w:lang w:val="en-GB" w:eastAsia="en-GB"/>
              </w:rPr>
              <w:t> </w:t>
            </w:r>
          </w:p>
        </w:tc>
        <w:tc>
          <w:tcPr>
            <w:tcW w:w="1930" w:type="dxa"/>
            <w:noWrap/>
            <w:hideMark/>
          </w:tcPr>
          <w:p w14:paraId="51971AFF"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Times New Roman" w:cs="Times New Roman"/>
                <w:color w:val="000000"/>
                <w:sz w:val="18"/>
                <w:szCs w:val="18"/>
                <w:lang w:val="en-GB" w:eastAsia="en-GB"/>
              </w:rPr>
              <w:t> </w:t>
            </w:r>
          </w:p>
        </w:tc>
      </w:tr>
      <w:tr w:rsidR="00CE1F5F" w:rsidRPr="00CE1F5F" w14:paraId="3FE953CD" w14:textId="77777777" w:rsidTr="00CE1F5F">
        <w:trPr>
          <w:trHeight w:val="28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18314DD8"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 xml:space="preserve">Italy </w:t>
            </w:r>
            <w:r w:rsidRPr="00CE1F5F">
              <w:rPr>
                <w:rFonts w:eastAsia="Times New Roman" w:cs="Times New Roman"/>
                <w:sz w:val="18"/>
                <w:szCs w:val="18"/>
                <w:vertAlign w:val="superscript"/>
                <w:lang w:val="en-GB" w:eastAsia="en-GB"/>
              </w:rPr>
              <w:t>6</w:t>
            </w:r>
          </w:p>
        </w:tc>
        <w:tc>
          <w:tcPr>
            <w:tcW w:w="1929" w:type="dxa"/>
            <w:noWrap/>
            <w:hideMark/>
          </w:tcPr>
          <w:p w14:paraId="36841669"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GB" w:eastAsia="en-GB"/>
              </w:rPr>
            </w:pPr>
            <w:r w:rsidRPr="00CE1F5F">
              <w:rPr>
                <w:rFonts w:eastAsia="Wingdings" w:cs="Times New Roman"/>
                <w:color w:val="FFC000"/>
                <w:sz w:val="18"/>
                <w:szCs w:val="18"/>
                <w:lang w:val="en-GB"/>
              </w:rPr>
              <w:t>þ</w:t>
            </w:r>
          </w:p>
        </w:tc>
        <w:tc>
          <w:tcPr>
            <w:tcW w:w="1930" w:type="dxa"/>
            <w:noWrap/>
            <w:hideMark/>
          </w:tcPr>
          <w:p w14:paraId="045C83CE"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c>
          <w:tcPr>
            <w:tcW w:w="1929" w:type="dxa"/>
            <w:noWrap/>
            <w:hideMark/>
          </w:tcPr>
          <w:p w14:paraId="6C391827"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GB" w:eastAsia="en-GB"/>
              </w:rPr>
            </w:pPr>
            <w:r w:rsidRPr="00CE1F5F">
              <w:rPr>
                <w:rFonts w:eastAsia="Wingdings" w:cs="Times New Roman"/>
                <w:color w:val="FFC000"/>
                <w:sz w:val="18"/>
                <w:szCs w:val="18"/>
                <w:lang w:val="en-GB"/>
              </w:rPr>
              <w:t>þ</w:t>
            </w:r>
          </w:p>
        </w:tc>
        <w:tc>
          <w:tcPr>
            <w:tcW w:w="1930" w:type="dxa"/>
            <w:noWrap/>
            <w:hideMark/>
          </w:tcPr>
          <w:p w14:paraId="65607159"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GB" w:eastAsia="en-GB"/>
              </w:rPr>
            </w:pPr>
            <w:r w:rsidRPr="00CE1F5F">
              <w:rPr>
                <w:rFonts w:eastAsia="Wingdings" w:cs="Times New Roman"/>
                <w:color w:val="FFC000"/>
                <w:sz w:val="18"/>
                <w:szCs w:val="18"/>
                <w:lang w:val="en-GB"/>
              </w:rPr>
              <w:t>þ</w:t>
            </w:r>
          </w:p>
        </w:tc>
      </w:tr>
      <w:tr w:rsidR="00CE1F5F" w:rsidRPr="00CE1F5F" w14:paraId="78F0C063" w14:textId="77777777" w:rsidTr="00CE1F5F">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7540AB99"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Japan</w:t>
            </w:r>
            <w:r w:rsidRPr="00CE1F5F">
              <w:rPr>
                <w:rFonts w:eastAsia="Times New Roman" w:cs="Times New Roman"/>
                <w:sz w:val="18"/>
                <w:szCs w:val="18"/>
                <w:vertAlign w:val="superscript"/>
                <w:lang w:val="en-GB" w:eastAsia="en-GB"/>
              </w:rPr>
              <w:t>7</w:t>
            </w:r>
          </w:p>
        </w:tc>
        <w:tc>
          <w:tcPr>
            <w:tcW w:w="1929" w:type="dxa"/>
            <w:noWrap/>
            <w:hideMark/>
          </w:tcPr>
          <w:p w14:paraId="4D03FB67" w14:textId="77777777" w:rsidR="00CE1F5F" w:rsidRPr="00CE1F5F" w:rsidRDefault="00CE1F5F" w:rsidP="00CE1F5F">
            <w:pPr>
              <w:snapToGrid w:val="0"/>
              <w:spacing w:after="0" w:line="240" w:lineRule="atLeas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p>
        </w:tc>
        <w:tc>
          <w:tcPr>
            <w:tcW w:w="1930" w:type="dxa"/>
            <w:noWrap/>
            <w:hideMark/>
          </w:tcPr>
          <w:p w14:paraId="2CD06AC5"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val="en-GB" w:eastAsia="en-GB"/>
              </w:rPr>
            </w:pPr>
          </w:p>
        </w:tc>
        <w:tc>
          <w:tcPr>
            <w:tcW w:w="1929" w:type="dxa"/>
            <w:noWrap/>
            <w:hideMark/>
          </w:tcPr>
          <w:p w14:paraId="529CE4ED"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val="en-GB" w:eastAsia="en-GB"/>
              </w:rPr>
            </w:pPr>
          </w:p>
        </w:tc>
        <w:tc>
          <w:tcPr>
            <w:tcW w:w="1930" w:type="dxa"/>
            <w:noWrap/>
            <w:hideMark/>
          </w:tcPr>
          <w:p w14:paraId="68073E5F"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val="en-GB" w:eastAsia="en-GB"/>
              </w:rPr>
            </w:pPr>
          </w:p>
        </w:tc>
      </w:tr>
      <w:tr w:rsidR="00CE1F5F" w:rsidRPr="00CE1F5F" w14:paraId="35BE2E92" w14:textId="77777777" w:rsidTr="00CE1F5F">
        <w:trPr>
          <w:trHeight w:val="28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47119C29"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Korea</w:t>
            </w:r>
            <w:r w:rsidRPr="00CE1F5F">
              <w:rPr>
                <w:rFonts w:eastAsia="Times New Roman" w:cs="Times New Roman"/>
                <w:sz w:val="18"/>
                <w:szCs w:val="18"/>
                <w:vertAlign w:val="superscript"/>
                <w:lang w:val="en-GB" w:eastAsia="en-GB"/>
              </w:rPr>
              <w:t>8</w:t>
            </w:r>
          </w:p>
        </w:tc>
        <w:tc>
          <w:tcPr>
            <w:tcW w:w="1929" w:type="dxa"/>
            <w:noWrap/>
            <w:hideMark/>
          </w:tcPr>
          <w:p w14:paraId="09A0B707"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c>
          <w:tcPr>
            <w:tcW w:w="1930" w:type="dxa"/>
            <w:noWrap/>
            <w:hideMark/>
          </w:tcPr>
          <w:p w14:paraId="759A2AC2"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c>
          <w:tcPr>
            <w:tcW w:w="1929" w:type="dxa"/>
            <w:noWrap/>
            <w:hideMark/>
          </w:tcPr>
          <w:p w14:paraId="36673C8E"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c>
          <w:tcPr>
            <w:tcW w:w="1930" w:type="dxa"/>
            <w:noWrap/>
            <w:hideMark/>
          </w:tcPr>
          <w:p w14:paraId="318AD29A"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GB" w:eastAsia="en-GB"/>
              </w:rPr>
            </w:pPr>
            <w:r w:rsidRPr="00CE1F5F">
              <w:rPr>
                <w:rFonts w:eastAsia="Times New Roman" w:cs="Times New Roman"/>
                <w:color w:val="000000"/>
                <w:sz w:val="18"/>
                <w:szCs w:val="18"/>
                <w:lang w:val="en-GB" w:eastAsia="en-GB"/>
              </w:rPr>
              <w:t> </w:t>
            </w:r>
          </w:p>
        </w:tc>
      </w:tr>
      <w:tr w:rsidR="00CE1F5F" w:rsidRPr="00CE1F5F" w14:paraId="4F79D196" w14:textId="77777777" w:rsidTr="00CE1F5F">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5C0D5B99"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Luxembourg</w:t>
            </w:r>
            <w:r w:rsidRPr="00CE1F5F">
              <w:rPr>
                <w:rFonts w:eastAsia="Times New Roman" w:cs="Times New Roman"/>
                <w:sz w:val="18"/>
                <w:szCs w:val="18"/>
                <w:vertAlign w:val="superscript"/>
                <w:lang w:val="en-GB" w:eastAsia="en-GB"/>
              </w:rPr>
              <w:t>9</w:t>
            </w:r>
          </w:p>
        </w:tc>
        <w:tc>
          <w:tcPr>
            <w:tcW w:w="7718" w:type="dxa"/>
            <w:gridSpan w:val="4"/>
            <w:noWrap/>
            <w:hideMark/>
          </w:tcPr>
          <w:p w14:paraId="077FDE24"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Times New Roman" w:cs="Times New Roman"/>
                <w:color w:val="000000"/>
                <w:sz w:val="18"/>
                <w:szCs w:val="18"/>
                <w:lang w:val="en-GB" w:eastAsia="en-GB"/>
              </w:rPr>
              <w:t>NI</w:t>
            </w:r>
          </w:p>
        </w:tc>
      </w:tr>
      <w:tr w:rsidR="00CE1F5F" w:rsidRPr="00CE1F5F" w14:paraId="7C765F12" w14:textId="77777777" w:rsidTr="00CE1F5F">
        <w:trPr>
          <w:trHeight w:val="28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0F6A3E6A"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The Netherlands</w:t>
            </w:r>
            <w:r w:rsidRPr="00CE1F5F">
              <w:rPr>
                <w:rFonts w:eastAsia="Times New Roman" w:cs="Times New Roman"/>
                <w:sz w:val="18"/>
                <w:szCs w:val="18"/>
                <w:vertAlign w:val="superscript"/>
                <w:lang w:val="en-GB" w:eastAsia="en-GB"/>
              </w:rPr>
              <w:t>10</w:t>
            </w:r>
          </w:p>
        </w:tc>
        <w:tc>
          <w:tcPr>
            <w:tcW w:w="1929" w:type="dxa"/>
            <w:noWrap/>
            <w:hideMark/>
          </w:tcPr>
          <w:p w14:paraId="79E91097"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c>
          <w:tcPr>
            <w:tcW w:w="1930" w:type="dxa"/>
            <w:noWrap/>
            <w:hideMark/>
          </w:tcPr>
          <w:p w14:paraId="7D2E77DF"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GB" w:eastAsia="en-GB"/>
              </w:rPr>
            </w:pPr>
            <w:r w:rsidRPr="00CE1F5F">
              <w:rPr>
                <w:rFonts w:eastAsia="Wingdings" w:cs="Times New Roman"/>
                <w:color w:val="FFC000"/>
                <w:sz w:val="18"/>
                <w:szCs w:val="18"/>
                <w:lang w:val="en-GB"/>
              </w:rPr>
              <w:t>þ</w:t>
            </w:r>
          </w:p>
        </w:tc>
        <w:tc>
          <w:tcPr>
            <w:tcW w:w="1929" w:type="dxa"/>
            <w:noWrap/>
            <w:hideMark/>
          </w:tcPr>
          <w:p w14:paraId="7AB9B280"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GB" w:eastAsia="en-GB"/>
              </w:rPr>
            </w:pPr>
          </w:p>
        </w:tc>
        <w:tc>
          <w:tcPr>
            <w:tcW w:w="1930" w:type="dxa"/>
            <w:noWrap/>
            <w:hideMark/>
          </w:tcPr>
          <w:p w14:paraId="4101C885"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r>
      <w:tr w:rsidR="00CE1F5F" w:rsidRPr="00CE1F5F" w14:paraId="221307AD" w14:textId="77777777" w:rsidTr="00CE1F5F">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642A1DB0"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New Zealand</w:t>
            </w:r>
            <w:r w:rsidRPr="00CE1F5F">
              <w:rPr>
                <w:rFonts w:eastAsia="Times New Roman" w:cs="Times New Roman"/>
                <w:sz w:val="18"/>
                <w:szCs w:val="18"/>
                <w:vertAlign w:val="superscript"/>
                <w:lang w:val="en-GB" w:eastAsia="en-GB"/>
              </w:rPr>
              <w:t>11</w:t>
            </w:r>
          </w:p>
        </w:tc>
        <w:tc>
          <w:tcPr>
            <w:tcW w:w="1929" w:type="dxa"/>
            <w:noWrap/>
            <w:hideMark/>
          </w:tcPr>
          <w:p w14:paraId="3EC1D55C"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Wingdings" w:cs="Times New Roman"/>
                <w:color w:val="FFC000"/>
                <w:sz w:val="18"/>
                <w:szCs w:val="18"/>
                <w:lang w:val="en-GB"/>
              </w:rPr>
              <w:t>þ</w:t>
            </w:r>
          </w:p>
        </w:tc>
        <w:tc>
          <w:tcPr>
            <w:tcW w:w="1930" w:type="dxa"/>
            <w:noWrap/>
            <w:hideMark/>
          </w:tcPr>
          <w:p w14:paraId="2D22FDE5"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Times New Roman" w:cs="Times New Roman"/>
                <w:color w:val="000000"/>
                <w:sz w:val="18"/>
                <w:szCs w:val="18"/>
                <w:lang w:val="en-GB" w:eastAsia="en-GB"/>
              </w:rPr>
              <w:t> </w:t>
            </w:r>
          </w:p>
        </w:tc>
        <w:tc>
          <w:tcPr>
            <w:tcW w:w="1929" w:type="dxa"/>
            <w:noWrap/>
            <w:hideMark/>
          </w:tcPr>
          <w:p w14:paraId="3272FB01"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Times New Roman" w:cs="Times New Roman"/>
                <w:color w:val="000000"/>
                <w:sz w:val="18"/>
                <w:szCs w:val="18"/>
                <w:lang w:val="en-GB" w:eastAsia="en-GB"/>
              </w:rPr>
              <w:t> </w:t>
            </w:r>
          </w:p>
        </w:tc>
        <w:tc>
          <w:tcPr>
            <w:tcW w:w="1930" w:type="dxa"/>
            <w:noWrap/>
            <w:hideMark/>
          </w:tcPr>
          <w:p w14:paraId="001433C7"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p>
        </w:tc>
      </w:tr>
      <w:tr w:rsidR="00CE1F5F" w:rsidRPr="00CE1F5F" w14:paraId="1D3E6A24" w14:textId="77777777" w:rsidTr="00CE1F5F">
        <w:trPr>
          <w:trHeight w:val="28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4F1A3C08"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 xml:space="preserve"> Norway</w:t>
            </w:r>
            <w:r w:rsidRPr="00CE1F5F">
              <w:rPr>
                <w:rFonts w:eastAsia="Times New Roman" w:cs="Times New Roman"/>
                <w:sz w:val="18"/>
                <w:szCs w:val="18"/>
                <w:vertAlign w:val="superscript"/>
                <w:lang w:val="en-GB" w:eastAsia="en-GB"/>
              </w:rPr>
              <w:t>12</w:t>
            </w:r>
          </w:p>
        </w:tc>
        <w:tc>
          <w:tcPr>
            <w:tcW w:w="1929" w:type="dxa"/>
            <w:noWrap/>
            <w:hideMark/>
          </w:tcPr>
          <w:p w14:paraId="3C7DF19F"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GB" w:eastAsia="en-GB"/>
              </w:rPr>
            </w:pPr>
            <w:r w:rsidRPr="00CE1F5F">
              <w:rPr>
                <w:rFonts w:eastAsia="Wingdings" w:cs="Times New Roman"/>
                <w:color w:val="FFC000"/>
                <w:sz w:val="18"/>
                <w:szCs w:val="18"/>
                <w:lang w:val="en-GB"/>
              </w:rPr>
              <w:t>þ</w:t>
            </w:r>
          </w:p>
        </w:tc>
        <w:tc>
          <w:tcPr>
            <w:tcW w:w="1930" w:type="dxa"/>
            <w:noWrap/>
            <w:hideMark/>
          </w:tcPr>
          <w:p w14:paraId="46AB3E1F"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GB" w:eastAsia="en-GB"/>
              </w:rPr>
            </w:pPr>
          </w:p>
        </w:tc>
        <w:tc>
          <w:tcPr>
            <w:tcW w:w="1929" w:type="dxa"/>
            <w:noWrap/>
            <w:hideMark/>
          </w:tcPr>
          <w:p w14:paraId="327B118A"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val="en-GB" w:eastAsia="en-GB"/>
              </w:rPr>
            </w:pPr>
          </w:p>
        </w:tc>
        <w:tc>
          <w:tcPr>
            <w:tcW w:w="1930" w:type="dxa"/>
            <w:noWrap/>
            <w:hideMark/>
          </w:tcPr>
          <w:p w14:paraId="365CB2A6"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val="en-GB" w:eastAsia="en-GB"/>
              </w:rPr>
            </w:pPr>
            <w:r w:rsidRPr="00CE1F5F">
              <w:rPr>
                <w:rFonts w:eastAsia="Times New Roman" w:cs="Times New Roman"/>
                <w:color w:val="000000"/>
                <w:sz w:val="18"/>
                <w:szCs w:val="18"/>
                <w:lang w:val="en-GB" w:eastAsia="en-GB"/>
              </w:rPr>
              <w:t> </w:t>
            </w:r>
          </w:p>
        </w:tc>
      </w:tr>
      <w:tr w:rsidR="00CE1F5F" w:rsidRPr="00CE1F5F" w14:paraId="354A3C6B" w14:textId="77777777" w:rsidTr="00CE1F5F">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7E7AA6C4"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Singapore</w:t>
            </w:r>
            <w:r w:rsidRPr="00CE1F5F">
              <w:rPr>
                <w:rFonts w:eastAsia="Times New Roman" w:cs="Times New Roman"/>
                <w:sz w:val="18"/>
                <w:szCs w:val="18"/>
                <w:vertAlign w:val="superscript"/>
                <w:lang w:val="en-GB" w:eastAsia="en-GB"/>
              </w:rPr>
              <w:t>13</w:t>
            </w:r>
          </w:p>
        </w:tc>
        <w:tc>
          <w:tcPr>
            <w:tcW w:w="1929" w:type="dxa"/>
            <w:noWrap/>
            <w:hideMark/>
          </w:tcPr>
          <w:p w14:paraId="425C962E" w14:textId="77777777" w:rsidR="00CE1F5F" w:rsidRPr="00CE1F5F" w:rsidRDefault="00CE1F5F" w:rsidP="00CE1F5F">
            <w:pPr>
              <w:snapToGrid w:val="0"/>
              <w:spacing w:after="0" w:line="240" w:lineRule="atLeas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p>
        </w:tc>
        <w:tc>
          <w:tcPr>
            <w:tcW w:w="1930" w:type="dxa"/>
            <w:noWrap/>
            <w:hideMark/>
          </w:tcPr>
          <w:p w14:paraId="74FA289E"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sz w:val="18"/>
                <w:szCs w:val="18"/>
                <w:lang w:val="en-GB" w:eastAsia="en-GB"/>
              </w:rPr>
            </w:pPr>
          </w:p>
        </w:tc>
        <w:tc>
          <w:tcPr>
            <w:tcW w:w="1929" w:type="dxa"/>
            <w:noWrap/>
            <w:hideMark/>
          </w:tcPr>
          <w:p w14:paraId="3BF5214C"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c>
          <w:tcPr>
            <w:tcW w:w="1930" w:type="dxa"/>
            <w:noWrap/>
            <w:hideMark/>
          </w:tcPr>
          <w:p w14:paraId="460B29AA"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r>
      <w:tr w:rsidR="00CE1F5F" w:rsidRPr="00CE1F5F" w14:paraId="06AE2711" w14:textId="77777777" w:rsidTr="00CE1F5F">
        <w:trPr>
          <w:trHeight w:val="28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7BFCB0A8"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lastRenderedPageBreak/>
              <w:t xml:space="preserve">Spain </w:t>
            </w:r>
            <w:r w:rsidRPr="00CE1F5F">
              <w:rPr>
                <w:rFonts w:eastAsia="Times New Roman" w:cs="Times New Roman"/>
                <w:sz w:val="18"/>
                <w:szCs w:val="18"/>
                <w:vertAlign w:val="superscript"/>
                <w:lang w:val="en-GB" w:eastAsia="en-GB"/>
              </w:rPr>
              <w:t>14</w:t>
            </w:r>
          </w:p>
        </w:tc>
        <w:tc>
          <w:tcPr>
            <w:tcW w:w="1929" w:type="dxa"/>
            <w:noWrap/>
            <w:hideMark/>
          </w:tcPr>
          <w:p w14:paraId="28120A6E"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val="en-GB" w:eastAsia="en-GB"/>
              </w:rPr>
            </w:pPr>
            <w:r w:rsidRPr="00CE1F5F">
              <w:rPr>
                <w:rFonts w:eastAsia="Wingdings" w:cs="Times New Roman"/>
                <w:color w:val="FFC000"/>
                <w:sz w:val="18"/>
                <w:szCs w:val="18"/>
                <w:lang w:val="en-GB"/>
              </w:rPr>
              <w:t>þ</w:t>
            </w:r>
          </w:p>
        </w:tc>
        <w:tc>
          <w:tcPr>
            <w:tcW w:w="1930" w:type="dxa"/>
            <w:noWrap/>
            <w:hideMark/>
          </w:tcPr>
          <w:p w14:paraId="5726D8EE"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val="en-GB" w:eastAsia="en-GB"/>
              </w:rPr>
            </w:pPr>
          </w:p>
        </w:tc>
        <w:tc>
          <w:tcPr>
            <w:tcW w:w="1929" w:type="dxa"/>
            <w:noWrap/>
            <w:hideMark/>
          </w:tcPr>
          <w:p w14:paraId="085CFA6E"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val="en-GB" w:eastAsia="en-GB"/>
              </w:rPr>
            </w:pPr>
            <w:r w:rsidRPr="00CE1F5F">
              <w:rPr>
                <w:rFonts w:eastAsia="Wingdings" w:cs="Times New Roman"/>
                <w:color w:val="FFC000"/>
                <w:sz w:val="18"/>
                <w:szCs w:val="18"/>
                <w:lang w:val="en-GB"/>
              </w:rPr>
              <w:t>þ</w:t>
            </w:r>
          </w:p>
        </w:tc>
        <w:tc>
          <w:tcPr>
            <w:tcW w:w="1930" w:type="dxa"/>
            <w:noWrap/>
            <w:hideMark/>
          </w:tcPr>
          <w:p w14:paraId="72000AE0"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p>
        </w:tc>
      </w:tr>
      <w:tr w:rsidR="00CE1F5F" w:rsidRPr="00CE1F5F" w14:paraId="4E18F7FB" w14:textId="77777777" w:rsidTr="00CE1F5F">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621D7C08"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Sweden</w:t>
            </w:r>
            <w:r w:rsidRPr="00CE1F5F">
              <w:rPr>
                <w:rFonts w:eastAsia="Times New Roman" w:cs="Times New Roman"/>
                <w:sz w:val="18"/>
                <w:szCs w:val="18"/>
                <w:vertAlign w:val="superscript"/>
                <w:lang w:val="en-GB" w:eastAsia="en-GB"/>
              </w:rPr>
              <w:t>15</w:t>
            </w:r>
          </w:p>
        </w:tc>
        <w:tc>
          <w:tcPr>
            <w:tcW w:w="1929" w:type="dxa"/>
            <w:noWrap/>
            <w:hideMark/>
          </w:tcPr>
          <w:p w14:paraId="202C3C57"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Wingdings" w:cs="Times New Roman"/>
                <w:color w:val="FFC000"/>
                <w:sz w:val="18"/>
                <w:szCs w:val="18"/>
                <w:lang w:val="en-GB"/>
              </w:rPr>
              <w:t>þ</w:t>
            </w:r>
          </w:p>
        </w:tc>
        <w:tc>
          <w:tcPr>
            <w:tcW w:w="1930" w:type="dxa"/>
            <w:noWrap/>
            <w:hideMark/>
          </w:tcPr>
          <w:p w14:paraId="5C138BA1"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c>
          <w:tcPr>
            <w:tcW w:w="1929" w:type="dxa"/>
            <w:noWrap/>
            <w:hideMark/>
          </w:tcPr>
          <w:p w14:paraId="74E077E7"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Times New Roman" w:cs="Times New Roman"/>
                <w:color w:val="000000"/>
                <w:sz w:val="18"/>
                <w:szCs w:val="18"/>
                <w:lang w:val="en-GB" w:eastAsia="en-GB"/>
              </w:rPr>
              <w:t> </w:t>
            </w:r>
          </w:p>
        </w:tc>
        <w:tc>
          <w:tcPr>
            <w:tcW w:w="1930" w:type="dxa"/>
            <w:noWrap/>
            <w:hideMark/>
          </w:tcPr>
          <w:p w14:paraId="6264BFA5"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Times New Roman" w:cs="Times New Roman"/>
                <w:color w:val="000000"/>
                <w:sz w:val="18"/>
                <w:szCs w:val="18"/>
                <w:lang w:val="en-GB" w:eastAsia="en-GB"/>
              </w:rPr>
              <w:t> </w:t>
            </w:r>
          </w:p>
        </w:tc>
      </w:tr>
      <w:tr w:rsidR="00CE1F5F" w:rsidRPr="00CE1F5F" w14:paraId="5DB17076" w14:textId="77777777" w:rsidTr="00CE1F5F">
        <w:trPr>
          <w:trHeight w:val="28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2EEE2643"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Taiwan</w:t>
            </w:r>
            <w:r w:rsidRPr="00CE1F5F">
              <w:rPr>
                <w:rFonts w:eastAsia="Times New Roman" w:cs="Times New Roman"/>
                <w:sz w:val="18"/>
                <w:szCs w:val="18"/>
                <w:vertAlign w:val="superscript"/>
                <w:lang w:val="en-GB" w:eastAsia="en-GB"/>
              </w:rPr>
              <w:t>16</w:t>
            </w:r>
          </w:p>
        </w:tc>
        <w:tc>
          <w:tcPr>
            <w:tcW w:w="1929" w:type="dxa"/>
            <w:noWrap/>
            <w:hideMark/>
          </w:tcPr>
          <w:p w14:paraId="013E9629"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c>
          <w:tcPr>
            <w:tcW w:w="1930" w:type="dxa"/>
            <w:noWrap/>
            <w:hideMark/>
          </w:tcPr>
          <w:p w14:paraId="591350C0"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p>
        </w:tc>
        <w:tc>
          <w:tcPr>
            <w:tcW w:w="1929" w:type="dxa"/>
            <w:noWrap/>
            <w:hideMark/>
          </w:tcPr>
          <w:p w14:paraId="550DB5E2"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c>
          <w:tcPr>
            <w:tcW w:w="1930" w:type="dxa"/>
            <w:noWrap/>
            <w:hideMark/>
          </w:tcPr>
          <w:p w14:paraId="0A078622"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p>
        </w:tc>
      </w:tr>
      <w:tr w:rsidR="00CE1F5F" w:rsidRPr="00CE1F5F" w14:paraId="27265AA5" w14:textId="77777777" w:rsidTr="00CE1F5F">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7B343BDA"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UK (England/Wales)</w:t>
            </w:r>
            <w:r w:rsidRPr="00CE1F5F">
              <w:rPr>
                <w:rFonts w:eastAsia="Times New Roman" w:cs="Times New Roman"/>
                <w:sz w:val="18"/>
                <w:szCs w:val="18"/>
                <w:vertAlign w:val="superscript"/>
                <w:lang w:val="en-GB" w:eastAsia="en-GB"/>
              </w:rPr>
              <w:t>17</w:t>
            </w:r>
          </w:p>
        </w:tc>
        <w:tc>
          <w:tcPr>
            <w:tcW w:w="1929" w:type="dxa"/>
            <w:noWrap/>
            <w:hideMark/>
          </w:tcPr>
          <w:p w14:paraId="1DE903FF"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Wingdings" w:cs="Times New Roman"/>
                <w:color w:val="FFC000"/>
                <w:sz w:val="18"/>
                <w:szCs w:val="18"/>
                <w:lang w:val="en-GB"/>
              </w:rPr>
              <w:t>þ</w:t>
            </w:r>
          </w:p>
        </w:tc>
        <w:tc>
          <w:tcPr>
            <w:tcW w:w="1930" w:type="dxa"/>
            <w:noWrap/>
            <w:hideMark/>
          </w:tcPr>
          <w:p w14:paraId="0F4B1366"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Wingdings" w:cs="Times New Roman"/>
                <w:color w:val="FFC000"/>
                <w:sz w:val="18"/>
                <w:szCs w:val="18"/>
                <w:lang w:val="en-GB"/>
              </w:rPr>
              <w:t>þ</w:t>
            </w:r>
          </w:p>
        </w:tc>
        <w:tc>
          <w:tcPr>
            <w:tcW w:w="1929" w:type="dxa"/>
            <w:noWrap/>
            <w:hideMark/>
          </w:tcPr>
          <w:p w14:paraId="4E33E7A7"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Wingdings" w:cs="Times New Roman"/>
                <w:color w:val="FFC000"/>
                <w:sz w:val="18"/>
                <w:szCs w:val="18"/>
                <w:lang w:val="en-GB"/>
              </w:rPr>
              <w:t>þ</w:t>
            </w:r>
          </w:p>
        </w:tc>
        <w:tc>
          <w:tcPr>
            <w:tcW w:w="1930" w:type="dxa"/>
            <w:noWrap/>
            <w:hideMark/>
          </w:tcPr>
          <w:p w14:paraId="384AC2F7"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n-GB" w:eastAsia="en-GB"/>
              </w:rPr>
            </w:pPr>
            <w:r w:rsidRPr="00CE1F5F">
              <w:rPr>
                <w:rFonts w:eastAsia="Times New Roman" w:cs="Times New Roman"/>
                <w:color w:val="000000"/>
                <w:sz w:val="18"/>
                <w:szCs w:val="18"/>
                <w:lang w:val="en-GB" w:eastAsia="en-GB"/>
              </w:rPr>
              <w:t> </w:t>
            </w:r>
          </w:p>
        </w:tc>
      </w:tr>
      <w:tr w:rsidR="00CE1F5F" w:rsidRPr="00CE1F5F" w14:paraId="32E4FBEA" w14:textId="77777777" w:rsidTr="00CE1F5F">
        <w:trPr>
          <w:trHeight w:val="28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0570286A" w14:textId="77777777" w:rsidR="00CE1F5F" w:rsidRPr="00CE1F5F" w:rsidRDefault="00CE1F5F" w:rsidP="00CE1F5F">
            <w:pPr>
              <w:snapToGrid w:val="0"/>
              <w:spacing w:after="0" w:line="240" w:lineRule="atLeast"/>
              <w:rPr>
                <w:rFonts w:eastAsia="Times New Roman" w:cs="Times New Roman"/>
                <w:sz w:val="18"/>
                <w:szCs w:val="18"/>
                <w:lang w:val="en-GB" w:eastAsia="en-GB"/>
              </w:rPr>
            </w:pPr>
            <w:r w:rsidRPr="00CE1F5F">
              <w:rPr>
                <w:rFonts w:eastAsia="Times New Roman" w:cs="Times New Roman"/>
                <w:sz w:val="18"/>
                <w:szCs w:val="18"/>
                <w:lang w:val="en-GB" w:eastAsia="en-GB"/>
              </w:rPr>
              <w:t>UK (Scotland)</w:t>
            </w:r>
            <w:r w:rsidRPr="00CE1F5F">
              <w:rPr>
                <w:rFonts w:eastAsia="Times New Roman" w:cs="Times New Roman"/>
                <w:sz w:val="18"/>
                <w:szCs w:val="18"/>
                <w:vertAlign w:val="superscript"/>
                <w:lang w:val="en-GB" w:eastAsia="en-GB"/>
              </w:rPr>
              <w:t>18</w:t>
            </w:r>
          </w:p>
        </w:tc>
        <w:tc>
          <w:tcPr>
            <w:tcW w:w="1929" w:type="dxa"/>
            <w:noWrap/>
            <w:hideMark/>
          </w:tcPr>
          <w:p w14:paraId="3ACB0E06" w14:textId="77777777" w:rsidR="00CE1F5F" w:rsidRPr="00CE1F5F" w:rsidRDefault="00CE1F5F" w:rsidP="00CE1F5F">
            <w:pPr>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r w:rsidRPr="00CE1F5F">
              <w:rPr>
                <w:rFonts w:eastAsia="Wingdings" w:cs="Times New Roman"/>
                <w:color w:val="7F7F7F" w:themeColor="text1" w:themeTint="80"/>
                <w:sz w:val="18"/>
                <w:szCs w:val="18"/>
                <w:lang w:val="en-GB"/>
              </w:rPr>
              <w:t>þ</w:t>
            </w:r>
          </w:p>
        </w:tc>
        <w:tc>
          <w:tcPr>
            <w:tcW w:w="1930" w:type="dxa"/>
            <w:noWrap/>
            <w:hideMark/>
          </w:tcPr>
          <w:p w14:paraId="1AE5D9C5" w14:textId="77777777" w:rsidR="00CE1F5F" w:rsidRPr="00CE1F5F" w:rsidRDefault="00CE1F5F" w:rsidP="00CE1F5F">
            <w:pPr>
              <w:snapToGrid w:val="0"/>
              <w:spacing w:after="0" w:line="240" w:lineRule="atLeas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r w:rsidRPr="00CE1F5F">
              <w:rPr>
                <w:rFonts w:eastAsia="Times New Roman" w:cs="Times New Roman"/>
                <w:sz w:val="18"/>
                <w:szCs w:val="18"/>
                <w:lang w:val="en-GB" w:eastAsia="en-GB"/>
              </w:rPr>
              <w:t> </w:t>
            </w:r>
          </w:p>
        </w:tc>
        <w:tc>
          <w:tcPr>
            <w:tcW w:w="1929" w:type="dxa"/>
            <w:noWrap/>
            <w:hideMark/>
          </w:tcPr>
          <w:p w14:paraId="7EE00905" w14:textId="77777777" w:rsidR="00CE1F5F" w:rsidRPr="00CE1F5F" w:rsidRDefault="00CE1F5F" w:rsidP="00CE1F5F">
            <w:pPr>
              <w:snapToGrid w:val="0"/>
              <w:spacing w:after="0" w:line="240" w:lineRule="atLeas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r w:rsidRPr="00CE1F5F">
              <w:rPr>
                <w:rFonts w:eastAsia="Times New Roman" w:cs="Times New Roman"/>
                <w:sz w:val="18"/>
                <w:szCs w:val="18"/>
                <w:lang w:val="en-GB" w:eastAsia="en-GB"/>
              </w:rPr>
              <w:t> </w:t>
            </w:r>
          </w:p>
        </w:tc>
        <w:tc>
          <w:tcPr>
            <w:tcW w:w="1930" w:type="dxa"/>
            <w:noWrap/>
            <w:hideMark/>
          </w:tcPr>
          <w:p w14:paraId="73C6F654" w14:textId="77777777" w:rsidR="00CE1F5F" w:rsidRPr="00CE1F5F" w:rsidRDefault="00CE1F5F" w:rsidP="00CE1F5F">
            <w:pPr>
              <w:snapToGrid w:val="0"/>
              <w:spacing w:after="0" w:line="240" w:lineRule="atLeast"/>
              <w:cnfStyle w:val="000000000000" w:firstRow="0" w:lastRow="0" w:firstColumn="0" w:lastColumn="0" w:oddVBand="0" w:evenVBand="0" w:oddHBand="0" w:evenHBand="0" w:firstRowFirstColumn="0" w:firstRowLastColumn="0" w:lastRowFirstColumn="0" w:lastRowLastColumn="0"/>
              <w:rPr>
                <w:rFonts w:eastAsia="Times New Roman" w:cs="Times New Roman"/>
                <w:color w:val="FF0000"/>
                <w:sz w:val="18"/>
                <w:szCs w:val="18"/>
                <w:lang w:val="en-GB" w:eastAsia="en-GB"/>
              </w:rPr>
            </w:pPr>
            <w:r w:rsidRPr="00CE1F5F">
              <w:rPr>
                <w:rFonts w:eastAsia="Times New Roman" w:cs="Times New Roman"/>
                <w:sz w:val="18"/>
                <w:szCs w:val="18"/>
                <w:lang w:val="en-GB" w:eastAsia="en-GB"/>
              </w:rPr>
              <w:t> </w:t>
            </w:r>
          </w:p>
        </w:tc>
      </w:tr>
      <w:tr w:rsidR="00CE1F5F" w:rsidRPr="00CE1F5F" w14:paraId="5ECAC006" w14:textId="77777777" w:rsidTr="00CE1F5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1" w:type="dxa"/>
            <w:shd w:val="clear" w:color="auto" w:fill="0070C0"/>
            <w:noWrap/>
            <w:hideMark/>
          </w:tcPr>
          <w:p w14:paraId="15A0FC2E" w14:textId="77777777" w:rsidR="00CE1F5F" w:rsidRPr="00CE1F5F" w:rsidRDefault="00CE1F5F" w:rsidP="00CE1F5F">
            <w:pPr>
              <w:snapToGrid w:val="0"/>
              <w:spacing w:after="0" w:line="240" w:lineRule="atLeast"/>
              <w:rPr>
                <w:rFonts w:eastAsia="Times New Roman" w:cs="Times New Roman"/>
                <w:b/>
                <w:sz w:val="18"/>
                <w:szCs w:val="18"/>
                <w:lang w:val="en-GB" w:eastAsia="en-GB"/>
              </w:rPr>
            </w:pPr>
            <w:r w:rsidRPr="00CE1F5F">
              <w:rPr>
                <w:rFonts w:eastAsia="Times New Roman" w:cs="Times New Roman"/>
                <w:b/>
                <w:sz w:val="18"/>
                <w:szCs w:val="18"/>
                <w:lang w:val="en-GB" w:eastAsia="en-GB"/>
              </w:rPr>
              <w:t xml:space="preserve"> TOTAL </w:t>
            </w:r>
          </w:p>
        </w:tc>
        <w:tc>
          <w:tcPr>
            <w:tcW w:w="1929" w:type="dxa"/>
            <w:noWrap/>
            <w:hideMark/>
          </w:tcPr>
          <w:p w14:paraId="5BF71EB7"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color w:val="000000"/>
                <w:sz w:val="18"/>
                <w:szCs w:val="18"/>
                <w:lang w:val="en-GB" w:eastAsia="en-GB"/>
              </w:rPr>
            </w:pPr>
            <w:r w:rsidRPr="00CE1F5F">
              <w:rPr>
                <w:rFonts w:eastAsia="Times New Roman" w:cs="Times New Roman"/>
                <w:b/>
                <w:color w:val="000000"/>
                <w:sz w:val="18"/>
                <w:szCs w:val="18"/>
                <w:lang w:val="en-GB" w:eastAsia="en-GB"/>
              </w:rPr>
              <w:t>14</w:t>
            </w:r>
          </w:p>
        </w:tc>
        <w:tc>
          <w:tcPr>
            <w:tcW w:w="1930" w:type="dxa"/>
            <w:noWrap/>
            <w:hideMark/>
          </w:tcPr>
          <w:p w14:paraId="3262408D"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color w:val="000000"/>
                <w:sz w:val="18"/>
                <w:szCs w:val="18"/>
                <w:lang w:val="en-GB" w:eastAsia="en-GB"/>
              </w:rPr>
            </w:pPr>
            <w:r w:rsidRPr="00CE1F5F">
              <w:rPr>
                <w:rFonts w:eastAsia="Times New Roman" w:cs="Times New Roman"/>
                <w:b/>
                <w:color w:val="000000"/>
                <w:sz w:val="18"/>
                <w:szCs w:val="18"/>
                <w:lang w:val="en-GB" w:eastAsia="en-GB"/>
              </w:rPr>
              <w:t>6</w:t>
            </w:r>
          </w:p>
        </w:tc>
        <w:tc>
          <w:tcPr>
            <w:tcW w:w="1929" w:type="dxa"/>
            <w:noWrap/>
            <w:hideMark/>
          </w:tcPr>
          <w:p w14:paraId="7E53348A"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color w:val="000000"/>
                <w:sz w:val="18"/>
                <w:szCs w:val="18"/>
                <w:lang w:val="en-GB" w:eastAsia="en-GB"/>
              </w:rPr>
            </w:pPr>
            <w:r w:rsidRPr="00CE1F5F">
              <w:rPr>
                <w:rFonts w:eastAsia="Times New Roman" w:cs="Times New Roman"/>
                <w:b/>
                <w:color w:val="000000"/>
                <w:sz w:val="18"/>
                <w:szCs w:val="18"/>
                <w:lang w:val="en-GB" w:eastAsia="en-GB"/>
              </w:rPr>
              <w:t>7</w:t>
            </w:r>
          </w:p>
        </w:tc>
        <w:tc>
          <w:tcPr>
            <w:tcW w:w="1930" w:type="dxa"/>
            <w:noWrap/>
            <w:hideMark/>
          </w:tcPr>
          <w:p w14:paraId="591391BC" w14:textId="77777777" w:rsidR="00CE1F5F" w:rsidRPr="00CE1F5F" w:rsidRDefault="00CE1F5F" w:rsidP="00CE1F5F">
            <w:pPr>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color w:val="000000"/>
                <w:sz w:val="18"/>
                <w:szCs w:val="18"/>
                <w:lang w:val="en-GB" w:eastAsia="en-GB"/>
              </w:rPr>
            </w:pPr>
            <w:r w:rsidRPr="00CE1F5F">
              <w:rPr>
                <w:rFonts w:eastAsia="Times New Roman" w:cs="Times New Roman"/>
                <w:b/>
                <w:color w:val="000000"/>
                <w:sz w:val="18"/>
                <w:szCs w:val="18"/>
                <w:lang w:val="en-GB" w:eastAsia="en-GB"/>
              </w:rPr>
              <w:t>6</w:t>
            </w:r>
          </w:p>
        </w:tc>
      </w:tr>
    </w:tbl>
    <w:p w14:paraId="5527A495" w14:textId="6B70D439" w:rsidR="00E14F70" w:rsidRPr="00CE1F5F" w:rsidRDefault="00E14F70" w:rsidP="00CE1F5F">
      <w:pPr>
        <w:snapToGrid w:val="0"/>
        <w:spacing w:after="0" w:line="240" w:lineRule="atLeast"/>
        <w:rPr>
          <w:rFonts w:ascii="ＭＳ Ｐ明朝" w:hAnsi="ＭＳ Ｐ明朝"/>
          <w:sz w:val="18"/>
          <w:szCs w:val="18"/>
          <w:lang w:val="en-GB" w:eastAsia="ja-JP"/>
        </w:rPr>
      </w:pPr>
      <w:r w:rsidRPr="00CE1F5F">
        <w:rPr>
          <w:rFonts w:ascii="ＭＳ Ｐ明朝" w:hAnsi="ＭＳ Ｐ明朝" w:hint="eastAsia"/>
          <w:sz w:val="18"/>
          <w:szCs w:val="18"/>
          <w:lang w:val="en-GB" w:eastAsia="ja-JP"/>
        </w:rPr>
        <w:t>注：</w:t>
      </w:r>
    </w:p>
    <w:p w14:paraId="2CAFCF32"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オーストラリア：複数の情報源により、RSAと費用上限、特別価格協定（SPA）が確認された。専門家の意見（保健省HTAレビュー参照委員会会議2023年8月14日）では、人口上限も実施されていることが指摘されている。保健省とのインタビューでは、RSAとSPA（特別価格協定）が補助金上限協定（RSA）の形で利用されていることが指摘された。人口レベルでの支出上限（RSAとPSA）。</w:t>
      </w:r>
    </w:p>
    <w:p w14:paraId="6FAC8C80"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ベルギー：RSAが確認された。</w:t>
      </w:r>
    </w:p>
    <w:p w14:paraId="4996F473"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カナダ：財務的MEAの使用が報告されている。RSA/割引/リベートが最も一般的であり、他で検証されていない場合は、これが実施されているMEAであると想定される。</w:t>
      </w:r>
    </w:p>
    <w:p w14:paraId="3F2CB39F"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フランス。</w:t>
      </w:r>
    </w:p>
    <w:p w14:paraId="30F3BE6B"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ドイツ：OECDによる財務的MEAの報告なし。</w:t>
      </w:r>
    </w:p>
    <w:p w14:paraId="11DCD8AE"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日本：OECDによる日本のMEAの報告なし。ICERのしきい値を用いた価値に基づく価格設定が確認された。</w:t>
      </w:r>
    </w:p>
    <w:p w14:paraId="60713B77"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韓国：CTC、患者レベル支出上限、リスク分担、患者利用上限の使用を確認。</w:t>
      </w:r>
    </w:p>
    <w:p w14:paraId="73031D2B"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イタリア：リスク分担と上限の使用を確認。</w:t>
      </w:r>
    </w:p>
    <w:p w14:paraId="5982EBC3"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ルクセンブルク：特定の枠組みは導入されていない。</w:t>
      </w:r>
    </w:p>
    <w:p w14:paraId="0E9B7C79"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オランダ：2015年までの価格ボリュームとリベートの使用を確認。</w:t>
      </w:r>
    </w:p>
    <w:p w14:paraId="7E02DF42"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ニュージーランド：金融MEAの使用を報告。RSA/割引/リベートが最も一般的であり、他で確認できない場合はこれが適用されると想定される。</w:t>
      </w:r>
    </w:p>
    <w:p w14:paraId="4F3BD4BF"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ノルウェー：財務的MEAの使用を報告。RSA/割引/リベートが最も一般的であり、他で確認できない場合はこれが適用されると想定される。</w:t>
      </w:r>
    </w:p>
    <w:p w14:paraId="455D8146"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シンガポール：価格ボリューム合意の使用を確認したが、成果ベースの合意は確認できなかった。予算キャップに向かう。</w:t>
      </w:r>
    </w:p>
    <w:p w14:paraId="2F3524C3"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スペイン：OECDにデータなし。リベート、製品割引、患者割引の使用を確認。</w:t>
      </w:r>
    </w:p>
    <w:p w14:paraId="24D00783"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スウェーデン：患者の利用上限を確認。金融MEAの使用を報告。RSA/割引/リベートが最も一般的であり、他で確認できない場合は想定される。</w:t>
      </w:r>
    </w:p>
    <w:p w14:paraId="5BBCE8AE"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台湾：支出上限とMEAを確認。</w:t>
      </w:r>
    </w:p>
    <w:p w14:paraId="79374EF9"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イングランド/ウェールズ：複数の情報源。単純な割引の使用を確認、補足表。RSAはKを確認。</w:t>
      </w:r>
    </w:p>
    <w:p w14:paraId="59DD98A6" w14:textId="77777777" w:rsidR="00E14F70" w:rsidRPr="00CE1F5F" w:rsidRDefault="00E14F70">
      <w:pPr>
        <w:pStyle w:val="a"/>
        <w:numPr>
          <w:ilvl w:val="0"/>
          <w:numId w:val="31"/>
        </w:numPr>
        <w:snapToGrid w:val="0"/>
        <w:spacing w:after="0" w:line="240" w:lineRule="atLeast"/>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スコットランド：単純な割引を確認する。</w:t>
      </w:r>
    </w:p>
    <w:p w14:paraId="14FDCA16" w14:textId="77777777" w:rsidR="00CE1F5F" w:rsidRDefault="00CE1F5F" w:rsidP="00594E75">
      <w:pPr>
        <w:spacing w:afterLines="50" w:after="200" w:line="240" w:lineRule="auto"/>
        <w:rPr>
          <w:rFonts w:ascii="ＭＳ Ｐ明朝" w:hAnsi="ＭＳ Ｐ明朝"/>
          <w:sz w:val="20"/>
          <w:szCs w:val="20"/>
          <w:lang w:val="en-GB" w:eastAsia="ja-JP"/>
        </w:rPr>
      </w:pPr>
    </w:p>
    <w:p w14:paraId="3865A97E" w14:textId="77777777" w:rsidR="00CE1F5F" w:rsidRDefault="00CE1F5F">
      <w:pPr>
        <w:spacing w:after="160" w:line="259" w:lineRule="auto"/>
        <w:rPr>
          <w:rFonts w:ascii="ＭＳ Ｐ明朝" w:hAnsi="ＭＳ Ｐ明朝"/>
          <w:b/>
          <w:bCs/>
          <w:szCs w:val="21"/>
          <w:lang w:val="en-GB" w:eastAsia="ja-JP"/>
        </w:rPr>
      </w:pPr>
      <w:r>
        <w:rPr>
          <w:rFonts w:ascii="ＭＳ Ｐ明朝" w:hAnsi="ＭＳ Ｐ明朝"/>
          <w:b/>
          <w:bCs/>
          <w:szCs w:val="21"/>
          <w:lang w:val="en-GB" w:eastAsia="ja-JP"/>
        </w:rPr>
        <w:br w:type="page"/>
      </w:r>
    </w:p>
    <w:p w14:paraId="2535EB41" w14:textId="586511B8" w:rsidR="00E14F70" w:rsidRPr="00CE1F5F" w:rsidRDefault="00E14F70" w:rsidP="00594E75">
      <w:pPr>
        <w:spacing w:afterLines="50" w:after="200" w:line="240" w:lineRule="auto"/>
        <w:rPr>
          <w:rFonts w:ascii="ＭＳ Ｐ明朝" w:hAnsi="ＭＳ Ｐ明朝"/>
          <w:b/>
          <w:bCs/>
          <w:szCs w:val="21"/>
          <w:lang w:val="en-GB" w:eastAsia="ja-JP"/>
        </w:rPr>
      </w:pPr>
      <w:r w:rsidRPr="00CE1F5F">
        <w:rPr>
          <w:rFonts w:ascii="ＭＳ Ｐ明朝" w:hAnsi="ＭＳ Ｐ明朝" w:hint="eastAsia"/>
          <w:b/>
          <w:bCs/>
          <w:szCs w:val="21"/>
          <w:lang w:val="en-GB" w:eastAsia="ja-JP"/>
        </w:rPr>
        <w:lastRenderedPageBreak/>
        <w:t>表4：タイプ別および国別の成果連動型MEAの利用状況</w:t>
      </w:r>
    </w:p>
    <w:tbl>
      <w:tblPr>
        <w:tblStyle w:val="LinedBlueTable"/>
        <w:tblW w:w="9330" w:type="dxa"/>
        <w:tblLayout w:type="fixed"/>
        <w:tblLook w:val="04A0" w:firstRow="1" w:lastRow="0" w:firstColumn="1" w:lastColumn="0" w:noHBand="0" w:noVBand="1"/>
      </w:tblPr>
      <w:tblGrid>
        <w:gridCol w:w="2295"/>
        <w:gridCol w:w="1395"/>
        <w:gridCol w:w="840"/>
        <w:gridCol w:w="1560"/>
        <w:gridCol w:w="1485"/>
        <w:gridCol w:w="1755"/>
      </w:tblGrid>
      <w:tr w:rsidR="00CE1F5F" w:rsidRPr="00CE1F5F" w14:paraId="2AFFD812" w14:textId="77777777" w:rsidTr="00AD50C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95" w:type="dxa"/>
            <w:vMerge w:val="restart"/>
            <w:shd w:val="clear" w:color="auto" w:fill="000000" w:themeFill="text1"/>
          </w:tcPr>
          <w:p w14:paraId="7729044B"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Light" w:cs="Times New Roman"/>
                <w:b/>
                <w:sz w:val="18"/>
                <w:szCs w:val="18"/>
                <w:lang w:val="en-GB"/>
              </w:rPr>
              <w:t>Country</w:t>
            </w:r>
            <w:r w:rsidRPr="00CE1F5F">
              <w:rPr>
                <w:rFonts w:eastAsia="Calibri Light" w:cs="Times New Roman"/>
                <w:sz w:val="18"/>
                <w:szCs w:val="18"/>
                <w:lang w:val="en-GB"/>
              </w:rPr>
              <w:t xml:space="preserve"> </w:t>
            </w:r>
          </w:p>
        </w:tc>
        <w:tc>
          <w:tcPr>
            <w:tcW w:w="3795" w:type="dxa"/>
            <w:gridSpan w:val="3"/>
            <w:shd w:val="clear" w:color="auto" w:fill="0070C0"/>
          </w:tcPr>
          <w:p w14:paraId="7B96981F" w14:textId="77777777" w:rsidR="00CE1F5F" w:rsidRPr="00CE1F5F" w:rsidRDefault="00CE1F5F" w:rsidP="00CE1F5F">
            <w:pPr>
              <w:keepNext/>
              <w:keepLines/>
              <w:snapToGrid w:val="0"/>
              <w:spacing w:after="0" w:line="240" w:lineRule="atLeast"/>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w:cs="Times New Roman"/>
                <w:b/>
                <w:sz w:val="18"/>
                <w:szCs w:val="18"/>
                <w:lang w:val="en-GB"/>
              </w:rPr>
              <w:t>Patient level</w:t>
            </w:r>
            <w:r w:rsidRPr="00CE1F5F">
              <w:rPr>
                <w:rFonts w:eastAsia="Calibri" w:cs="Times New Roman"/>
                <w:color w:val="D13438"/>
                <w:sz w:val="18"/>
                <w:szCs w:val="18"/>
                <w:lang w:val="en-GB"/>
              </w:rPr>
              <w:t xml:space="preserve"> </w:t>
            </w:r>
          </w:p>
        </w:tc>
        <w:tc>
          <w:tcPr>
            <w:tcW w:w="3240" w:type="dxa"/>
            <w:gridSpan w:val="2"/>
            <w:shd w:val="clear" w:color="auto" w:fill="0070C0"/>
          </w:tcPr>
          <w:p w14:paraId="5B56C63C" w14:textId="77777777" w:rsidR="00CE1F5F" w:rsidRPr="00CE1F5F" w:rsidRDefault="00CE1F5F" w:rsidP="00CE1F5F">
            <w:pPr>
              <w:keepNext/>
              <w:keepLines/>
              <w:snapToGrid w:val="0"/>
              <w:spacing w:after="0" w:line="240" w:lineRule="atLeast"/>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w:cs="Times New Roman"/>
                <w:b/>
                <w:sz w:val="18"/>
                <w:szCs w:val="18"/>
                <w:lang w:val="en-GB"/>
              </w:rPr>
              <w:t>Population level</w:t>
            </w:r>
            <w:r w:rsidRPr="00CE1F5F">
              <w:rPr>
                <w:rFonts w:eastAsia="Calibri" w:cs="Times New Roman"/>
                <w:color w:val="D13438"/>
                <w:sz w:val="18"/>
                <w:szCs w:val="18"/>
                <w:lang w:val="en-GB"/>
              </w:rPr>
              <w:t xml:space="preserve"> </w:t>
            </w:r>
          </w:p>
        </w:tc>
      </w:tr>
      <w:tr w:rsidR="00CE1F5F" w:rsidRPr="00CE1F5F" w14:paraId="5C78DBDC" w14:textId="77777777" w:rsidTr="00AD50C5">
        <w:trPr>
          <w:trHeight w:val="330"/>
        </w:trPr>
        <w:tc>
          <w:tcPr>
            <w:cnfStyle w:val="001000000000" w:firstRow="0" w:lastRow="0" w:firstColumn="1" w:lastColumn="0" w:oddVBand="0" w:evenVBand="0" w:oddHBand="0" w:evenHBand="0" w:firstRowFirstColumn="0" w:firstRowLastColumn="0" w:lastRowFirstColumn="0" w:lastRowLastColumn="0"/>
            <w:tcW w:w="2295" w:type="dxa"/>
            <w:vMerge/>
            <w:shd w:val="clear" w:color="auto" w:fill="000000" w:themeFill="text1"/>
          </w:tcPr>
          <w:p w14:paraId="3410F013" w14:textId="77777777" w:rsidR="00CE1F5F" w:rsidRPr="00CE1F5F" w:rsidRDefault="00CE1F5F" w:rsidP="00CE1F5F">
            <w:pPr>
              <w:keepNext/>
              <w:keepLines/>
              <w:snapToGrid w:val="0"/>
              <w:spacing w:line="240" w:lineRule="atLeast"/>
              <w:rPr>
                <w:rFonts w:cs="Times New Roman"/>
                <w:sz w:val="18"/>
                <w:szCs w:val="18"/>
                <w:lang w:val="en-GB"/>
              </w:rPr>
            </w:pPr>
          </w:p>
        </w:tc>
        <w:tc>
          <w:tcPr>
            <w:tcW w:w="1395" w:type="dxa"/>
            <w:shd w:val="clear" w:color="auto" w:fill="0070C0"/>
          </w:tcPr>
          <w:p w14:paraId="08D6D1F6"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roofErr w:type="spellStart"/>
            <w:r w:rsidRPr="00CE1F5F">
              <w:rPr>
                <w:rFonts w:eastAsia="Calibri" w:cs="Times New Roman"/>
                <w:b/>
                <w:color w:val="FFFFFF" w:themeColor="background1"/>
                <w:sz w:val="18"/>
                <w:szCs w:val="18"/>
                <w:lang w:val="en-GB"/>
              </w:rPr>
              <w:t>PbR</w:t>
            </w:r>
            <w:proofErr w:type="spellEnd"/>
          </w:p>
        </w:tc>
        <w:tc>
          <w:tcPr>
            <w:tcW w:w="840" w:type="dxa"/>
            <w:shd w:val="clear" w:color="auto" w:fill="0070C0"/>
          </w:tcPr>
          <w:p w14:paraId="344181AA"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w:cs="Times New Roman"/>
                <w:b/>
                <w:color w:val="FFFFFF" w:themeColor="background1"/>
                <w:sz w:val="18"/>
                <w:szCs w:val="18"/>
                <w:lang w:val="en-GB"/>
              </w:rPr>
              <w:t>CED</w:t>
            </w:r>
          </w:p>
        </w:tc>
        <w:tc>
          <w:tcPr>
            <w:tcW w:w="1560" w:type="dxa"/>
            <w:shd w:val="clear" w:color="auto" w:fill="0070C0"/>
          </w:tcPr>
          <w:p w14:paraId="5018328B"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w:cs="Times New Roman"/>
                <w:b/>
                <w:color w:val="FFFFFF" w:themeColor="background1"/>
                <w:sz w:val="18"/>
                <w:szCs w:val="18"/>
                <w:lang w:val="en-GB"/>
              </w:rPr>
              <w:t>CTC</w:t>
            </w:r>
          </w:p>
        </w:tc>
        <w:tc>
          <w:tcPr>
            <w:tcW w:w="1485" w:type="dxa"/>
            <w:shd w:val="clear" w:color="auto" w:fill="0070C0"/>
          </w:tcPr>
          <w:p w14:paraId="4B57EBE4"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roofErr w:type="spellStart"/>
            <w:r w:rsidRPr="00CE1F5F">
              <w:rPr>
                <w:rFonts w:eastAsia="Calibri" w:cs="Times New Roman"/>
                <w:b/>
                <w:color w:val="FFFFFF" w:themeColor="background1"/>
                <w:sz w:val="18"/>
                <w:szCs w:val="18"/>
                <w:lang w:val="en-GB"/>
              </w:rPr>
              <w:t>PbR</w:t>
            </w:r>
            <w:proofErr w:type="spellEnd"/>
          </w:p>
        </w:tc>
        <w:tc>
          <w:tcPr>
            <w:tcW w:w="1755" w:type="dxa"/>
            <w:shd w:val="clear" w:color="auto" w:fill="0070C0"/>
          </w:tcPr>
          <w:p w14:paraId="07016B2A"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w:cs="Times New Roman"/>
                <w:b/>
                <w:color w:val="FFFFFF" w:themeColor="background1"/>
                <w:sz w:val="18"/>
                <w:szCs w:val="18"/>
                <w:lang w:val="en-GB"/>
              </w:rPr>
              <w:t>CED</w:t>
            </w:r>
          </w:p>
        </w:tc>
      </w:tr>
      <w:tr w:rsidR="00CE1F5F" w:rsidRPr="00CE1F5F" w14:paraId="20307B30"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23976A34"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Australia</w:t>
            </w:r>
            <w:r w:rsidRPr="00CE1F5F">
              <w:rPr>
                <w:rFonts w:eastAsia="Calibri" w:cs="Times New Roman"/>
                <w:sz w:val="18"/>
                <w:szCs w:val="18"/>
                <w:vertAlign w:val="superscript"/>
                <w:lang w:val="en-GB"/>
              </w:rPr>
              <w:t>1</w:t>
            </w:r>
          </w:p>
        </w:tc>
        <w:tc>
          <w:tcPr>
            <w:tcW w:w="1395" w:type="dxa"/>
          </w:tcPr>
          <w:p w14:paraId="02D21A38"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color w:val="7F7F7F" w:themeColor="text1" w:themeTint="80"/>
                <w:sz w:val="18"/>
                <w:szCs w:val="18"/>
                <w:lang w:val="en-GB"/>
              </w:rPr>
              <w:t>þ</w:t>
            </w:r>
          </w:p>
        </w:tc>
        <w:tc>
          <w:tcPr>
            <w:tcW w:w="840" w:type="dxa"/>
          </w:tcPr>
          <w:p w14:paraId="51449B34"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color w:val="7F7F7F" w:themeColor="text1" w:themeTint="80"/>
                <w:sz w:val="18"/>
                <w:szCs w:val="18"/>
                <w:lang w:val="en-GB"/>
              </w:rPr>
              <w:t>þ</w:t>
            </w:r>
          </w:p>
        </w:tc>
        <w:tc>
          <w:tcPr>
            <w:tcW w:w="1560" w:type="dxa"/>
          </w:tcPr>
          <w:p w14:paraId="5002F0F6"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color w:val="7F7F7F" w:themeColor="text1" w:themeTint="80"/>
                <w:sz w:val="18"/>
                <w:szCs w:val="18"/>
                <w:lang w:val="en-GB"/>
              </w:rPr>
              <w:t>þ</w:t>
            </w:r>
          </w:p>
        </w:tc>
        <w:tc>
          <w:tcPr>
            <w:tcW w:w="1485" w:type="dxa"/>
          </w:tcPr>
          <w:p w14:paraId="1BE2DA65" w14:textId="77777777" w:rsidR="00CE1F5F" w:rsidRPr="00CE1F5F" w:rsidRDefault="00CE1F5F" w:rsidP="00CE1F5F">
            <w:pPr>
              <w:keepNext/>
              <w:keepLines/>
              <w:snapToGrid w:val="0"/>
              <w:spacing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755" w:type="dxa"/>
          </w:tcPr>
          <w:p w14:paraId="68E1240A"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color w:val="FFC000"/>
                <w:sz w:val="18"/>
                <w:szCs w:val="18"/>
                <w:lang w:val="en-GB"/>
              </w:rPr>
              <w:t>þ</w:t>
            </w:r>
          </w:p>
        </w:tc>
      </w:tr>
      <w:tr w:rsidR="00CE1F5F" w:rsidRPr="00CE1F5F" w14:paraId="35661C43" w14:textId="77777777" w:rsidTr="00AD50C5">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7EF294F5"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Belgium</w:t>
            </w:r>
            <w:r w:rsidRPr="00CE1F5F">
              <w:rPr>
                <w:rFonts w:eastAsia="Calibri" w:cs="Times New Roman"/>
                <w:sz w:val="18"/>
                <w:szCs w:val="18"/>
                <w:vertAlign w:val="superscript"/>
                <w:lang w:val="en-GB"/>
              </w:rPr>
              <w:t>2</w:t>
            </w:r>
          </w:p>
        </w:tc>
        <w:tc>
          <w:tcPr>
            <w:tcW w:w="1395" w:type="dxa"/>
          </w:tcPr>
          <w:p w14:paraId="3B4987DF"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color w:val="FFC000"/>
                <w:sz w:val="18"/>
                <w:szCs w:val="18"/>
                <w:lang w:val="en-GB"/>
              </w:rPr>
              <w:t>þ</w:t>
            </w:r>
          </w:p>
        </w:tc>
        <w:tc>
          <w:tcPr>
            <w:tcW w:w="840" w:type="dxa"/>
          </w:tcPr>
          <w:p w14:paraId="0EEE3C13" w14:textId="77777777" w:rsidR="00CE1F5F" w:rsidRPr="00CE1F5F" w:rsidRDefault="00CE1F5F" w:rsidP="00CE1F5F">
            <w:pPr>
              <w:keepNext/>
              <w:keepLines/>
              <w:snapToGrid w:val="0"/>
              <w:spacing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560" w:type="dxa"/>
          </w:tcPr>
          <w:p w14:paraId="64835202" w14:textId="77777777" w:rsidR="00CE1F5F" w:rsidRPr="00CE1F5F" w:rsidRDefault="00CE1F5F" w:rsidP="00CE1F5F">
            <w:pPr>
              <w:keepNext/>
              <w:keepLines/>
              <w:snapToGrid w:val="0"/>
              <w:spacing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p>
        </w:tc>
        <w:tc>
          <w:tcPr>
            <w:tcW w:w="1485" w:type="dxa"/>
          </w:tcPr>
          <w:p w14:paraId="1CEDFDE8"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color w:val="FFC000"/>
                <w:sz w:val="18"/>
                <w:szCs w:val="18"/>
                <w:lang w:val="en-GB"/>
              </w:rPr>
              <w:t>þ</w:t>
            </w:r>
          </w:p>
        </w:tc>
        <w:tc>
          <w:tcPr>
            <w:tcW w:w="1755" w:type="dxa"/>
          </w:tcPr>
          <w:p w14:paraId="71326553"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color w:val="FFC000"/>
                <w:sz w:val="18"/>
                <w:szCs w:val="18"/>
                <w:lang w:val="en-GB"/>
              </w:rPr>
              <w:t>þ</w:t>
            </w:r>
          </w:p>
        </w:tc>
      </w:tr>
      <w:tr w:rsidR="00CE1F5F" w:rsidRPr="00CE1F5F" w14:paraId="7B3D167A"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2956FA9A"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Canada</w:t>
            </w:r>
            <w:r w:rsidRPr="00CE1F5F">
              <w:rPr>
                <w:rFonts w:eastAsia="Calibri" w:cs="Times New Roman"/>
                <w:sz w:val="18"/>
                <w:szCs w:val="18"/>
                <w:vertAlign w:val="superscript"/>
                <w:lang w:val="en-GB"/>
              </w:rPr>
              <w:t>3</w:t>
            </w:r>
          </w:p>
        </w:tc>
        <w:tc>
          <w:tcPr>
            <w:tcW w:w="7035" w:type="dxa"/>
            <w:gridSpan w:val="5"/>
          </w:tcPr>
          <w:p w14:paraId="08D8ABA2" w14:textId="77777777" w:rsidR="00CE1F5F" w:rsidRPr="00CE1F5F" w:rsidRDefault="00CE1F5F" w:rsidP="00CE1F5F">
            <w:pPr>
              <w:keepNext/>
              <w:keepLines/>
              <w:snapToGrid w:val="0"/>
              <w:spacing w:after="0" w:line="240" w:lineRule="atLeast"/>
              <w:ind w:lef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NI</w:t>
            </w:r>
          </w:p>
        </w:tc>
      </w:tr>
      <w:tr w:rsidR="00CE1F5F" w:rsidRPr="00CE1F5F" w14:paraId="51115996" w14:textId="77777777" w:rsidTr="00AD50C5">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71944219"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France</w:t>
            </w:r>
            <w:r w:rsidRPr="00CE1F5F">
              <w:rPr>
                <w:rFonts w:eastAsia="Calibri" w:cs="Times New Roman"/>
                <w:sz w:val="18"/>
                <w:szCs w:val="18"/>
                <w:vertAlign w:val="superscript"/>
                <w:lang w:val="en-GB"/>
              </w:rPr>
              <w:t>4</w:t>
            </w:r>
            <w:r w:rsidRPr="00CE1F5F">
              <w:rPr>
                <w:rFonts w:eastAsia="Calibri" w:cs="Times New Roman"/>
                <w:color w:val="D13438"/>
                <w:sz w:val="18"/>
                <w:szCs w:val="18"/>
                <w:vertAlign w:val="superscript"/>
                <w:lang w:val="en-GB"/>
              </w:rPr>
              <w:t xml:space="preserve"> </w:t>
            </w:r>
          </w:p>
        </w:tc>
        <w:tc>
          <w:tcPr>
            <w:tcW w:w="1395" w:type="dxa"/>
          </w:tcPr>
          <w:p w14:paraId="5FB8BBFB"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color w:val="7F7F7F" w:themeColor="text1" w:themeTint="80"/>
                <w:sz w:val="18"/>
                <w:szCs w:val="18"/>
                <w:lang w:val="en-GB"/>
              </w:rPr>
              <w:t>þ</w:t>
            </w:r>
          </w:p>
        </w:tc>
        <w:tc>
          <w:tcPr>
            <w:tcW w:w="840" w:type="dxa"/>
          </w:tcPr>
          <w:p w14:paraId="4D10729C"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color w:val="7F7F7F" w:themeColor="text1" w:themeTint="80"/>
                <w:sz w:val="18"/>
                <w:szCs w:val="18"/>
                <w:lang w:val="en-GB"/>
              </w:rPr>
              <w:t>þ</w:t>
            </w:r>
          </w:p>
        </w:tc>
        <w:tc>
          <w:tcPr>
            <w:tcW w:w="1560" w:type="dxa"/>
          </w:tcPr>
          <w:p w14:paraId="0B09B021" w14:textId="77777777" w:rsidR="00CE1F5F" w:rsidRPr="00CE1F5F" w:rsidRDefault="00CE1F5F" w:rsidP="00CE1F5F">
            <w:pPr>
              <w:keepNext/>
              <w:keepLines/>
              <w:snapToGrid w:val="0"/>
              <w:spacing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Light" w:cs="Times New Roman"/>
                <w:sz w:val="18"/>
                <w:szCs w:val="18"/>
                <w:lang w:val="en-GB"/>
              </w:rPr>
              <w:t xml:space="preserve"> </w:t>
            </w:r>
          </w:p>
        </w:tc>
        <w:tc>
          <w:tcPr>
            <w:tcW w:w="1485" w:type="dxa"/>
          </w:tcPr>
          <w:p w14:paraId="0DB69338" w14:textId="77777777" w:rsidR="00CE1F5F" w:rsidRPr="00CE1F5F" w:rsidRDefault="00CE1F5F" w:rsidP="00CE1F5F">
            <w:pPr>
              <w:keepNext/>
              <w:keepLines/>
              <w:snapToGrid w:val="0"/>
              <w:spacing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Light" w:cs="Times New Roman"/>
                <w:sz w:val="18"/>
                <w:szCs w:val="18"/>
                <w:lang w:val="en-GB"/>
              </w:rPr>
              <w:t xml:space="preserve"> </w:t>
            </w:r>
          </w:p>
        </w:tc>
        <w:tc>
          <w:tcPr>
            <w:tcW w:w="1755" w:type="dxa"/>
          </w:tcPr>
          <w:p w14:paraId="303A8BC9"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color w:val="7F7F7F" w:themeColor="text1" w:themeTint="80"/>
                <w:sz w:val="18"/>
                <w:szCs w:val="18"/>
                <w:lang w:val="en-GB"/>
              </w:rPr>
              <w:t>þ</w:t>
            </w:r>
          </w:p>
        </w:tc>
      </w:tr>
      <w:tr w:rsidR="00CE1F5F" w:rsidRPr="00CE1F5F" w14:paraId="07E56B6A"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21A6B8D8"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Germany</w:t>
            </w:r>
            <w:r w:rsidRPr="00CE1F5F">
              <w:rPr>
                <w:rFonts w:eastAsia="Calibri" w:cs="Times New Roman"/>
                <w:sz w:val="18"/>
                <w:szCs w:val="18"/>
                <w:vertAlign w:val="superscript"/>
                <w:lang w:val="en-GB"/>
              </w:rPr>
              <w:t>5</w:t>
            </w:r>
          </w:p>
        </w:tc>
        <w:tc>
          <w:tcPr>
            <w:tcW w:w="1395" w:type="dxa"/>
          </w:tcPr>
          <w:p w14:paraId="140DF8C9" w14:textId="77777777" w:rsidR="00CE1F5F" w:rsidRPr="00CE1F5F" w:rsidRDefault="00CE1F5F" w:rsidP="00CE1F5F">
            <w:pPr>
              <w:keepNext/>
              <w:keepLines/>
              <w:snapToGrid w:val="0"/>
              <w:spacing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840" w:type="dxa"/>
          </w:tcPr>
          <w:p w14:paraId="770DE0FA"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color w:val="FFC000"/>
                <w:sz w:val="18"/>
                <w:szCs w:val="18"/>
                <w:lang w:val="en-GB"/>
              </w:rPr>
              <w:t>þ</w:t>
            </w:r>
          </w:p>
        </w:tc>
        <w:tc>
          <w:tcPr>
            <w:tcW w:w="1560" w:type="dxa"/>
          </w:tcPr>
          <w:p w14:paraId="6A7CCC3B" w14:textId="77777777" w:rsidR="00CE1F5F" w:rsidRPr="00CE1F5F" w:rsidRDefault="00CE1F5F" w:rsidP="00CE1F5F">
            <w:pPr>
              <w:keepNext/>
              <w:keepLines/>
              <w:snapToGrid w:val="0"/>
              <w:spacing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485" w:type="dxa"/>
          </w:tcPr>
          <w:p w14:paraId="50B3E58C" w14:textId="77777777" w:rsidR="00CE1F5F" w:rsidRPr="00CE1F5F" w:rsidRDefault="00CE1F5F" w:rsidP="00CE1F5F">
            <w:pPr>
              <w:keepNext/>
              <w:keepLines/>
              <w:snapToGrid w:val="0"/>
              <w:spacing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c>
          <w:tcPr>
            <w:tcW w:w="1755" w:type="dxa"/>
          </w:tcPr>
          <w:p w14:paraId="207A1E34" w14:textId="77777777" w:rsidR="00CE1F5F" w:rsidRPr="00CE1F5F" w:rsidRDefault="00CE1F5F" w:rsidP="00CE1F5F">
            <w:pPr>
              <w:keepNext/>
              <w:keepLines/>
              <w:snapToGrid w:val="0"/>
              <w:spacing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p>
        </w:tc>
      </w:tr>
      <w:tr w:rsidR="00CE1F5F" w:rsidRPr="00CE1F5F" w14:paraId="167BE9E4" w14:textId="77777777" w:rsidTr="00AD50C5">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07566FAB"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Italy</w:t>
            </w:r>
            <w:r w:rsidRPr="00CE1F5F">
              <w:rPr>
                <w:rFonts w:eastAsia="Calibri" w:cs="Times New Roman"/>
                <w:sz w:val="18"/>
                <w:szCs w:val="18"/>
                <w:vertAlign w:val="superscript"/>
                <w:lang w:val="en-GB"/>
              </w:rPr>
              <w:t>6</w:t>
            </w:r>
          </w:p>
        </w:tc>
        <w:tc>
          <w:tcPr>
            <w:tcW w:w="1395" w:type="dxa"/>
          </w:tcPr>
          <w:p w14:paraId="1A06A267"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color w:val="FFC000"/>
                <w:sz w:val="18"/>
                <w:szCs w:val="18"/>
                <w:lang w:val="en-GB"/>
              </w:rPr>
              <w:t>þ</w:t>
            </w:r>
          </w:p>
        </w:tc>
        <w:tc>
          <w:tcPr>
            <w:tcW w:w="840" w:type="dxa"/>
          </w:tcPr>
          <w:p w14:paraId="0B911480" w14:textId="77777777" w:rsidR="00CE1F5F" w:rsidRPr="00CE1F5F" w:rsidRDefault="00CE1F5F" w:rsidP="00CE1F5F">
            <w:pPr>
              <w:keepNext/>
              <w:keepLines/>
              <w:snapToGrid w:val="0"/>
              <w:spacing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Light" w:cs="Times New Roman"/>
                <w:sz w:val="18"/>
                <w:szCs w:val="18"/>
                <w:lang w:val="en-GB"/>
              </w:rPr>
              <w:t xml:space="preserve"> </w:t>
            </w:r>
          </w:p>
        </w:tc>
        <w:tc>
          <w:tcPr>
            <w:tcW w:w="1560" w:type="dxa"/>
          </w:tcPr>
          <w:p w14:paraId="57CC2620"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color w:val="FFC000"/>
                <w:sz w:val="18"/>
                <w:szCs w:val="18"/>
                <w:lang w:val="en-GB"/>
              </w:rPr>
              <w:t>þ</w:t>
            </w:r>
          </w:p>
        </w:tc>
        <w:tc>
          <w:tcPr>
            <w:tcW w:w="1485" w:type="dxa"/>
          </w:tcPr>
          <w:p w14:paraId="4DDF793C" w14:textId="77777777" w:rsidR="00CE1F5F" w:rsidRPr="00CE1F5F" w:rsidRDefault="00CE1F5F" w:rsidP="00CE1F5F">
            <w:pPr>
              <w:keepNext/>
              <w:keepLines/>
              <w:snapToGrid w:val="0"/>
              <w:spacing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Light" w:cs="Times New Roman"/>
                <w:sz w:val="18"/>
                <w:szCs w:val="18"/>
                <w:lang w:val="en-GB"/>
              </w:rPr>
              <w:t xml:space="preserve"> </w:t>
            </w:r>
          </w:p>
        </w:tc>
        <w:tc>
          <w:tcPr>
            <w:tcW w:w="1755" w:type="dxa"/>
          </w:tcPr>
          <w:p w14:paraId="113AC3F3" w14:textId="77777777" w:rsidR="00CE1F5F" w:rsidRPr="00CE1F5F" w:rsidRDefault="00CE1F5F" w:rsidP="00CE1F5F">
            <w:pPr>
              <w:keepNext/>
              <w:keepLines/>
              <w:snapToGrid w:val="0"/>
              <w:spacing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Light" w:cs="Times New Roman"/>
                <w:sz w:val="18"/>
                <w:szCs w:val="18"/>
                <w:lang w:val="en-GB"/>
              </w:rPr>
              <w:t xml:space="preserve"> </w:t>
            </w:r>
          </w:p>
        </w:tc>
      </w:tr>
      <w:tr w:rsidR="00CE1F5F" w:rsidRPr="00CE1F5F" w14:paraId="3B8E2E97"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2AC8948A"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Japan</w:t>
            </w:r>
            <w:r w:rsidRPr="00CE1F5F">
              <w:rPr>
                <w:rFonts w:eastAsia="Calibri" w:cs="Times New Roman"/>
                <w:sz w:val="18"/>
                <w:szCs w:val="18"/>
                <w:vertAlign w:val="superscript"/>
                <w:lang w:val="en-GB"/>
              </w:rPr>
              <w:t>7</w:t>
            </w:r>
          </w:p>
        </w:tc>
        <w:tc>
          <w:tcPr>
            <w:tcW w:w="1395" w:type="dxa"/>
          </w:tcPr>
          <w:p w14:paraId="6BF73B43" w14:textId="77777777" w:rsidR="00CE1F5F" w:rsidRPr="00CE1F5F" w:rsidRDefault="00CE1F5F" w:rsidP="00CE1F5F">
            <w:pPr>
              <w:keepNext/>
              <w:keepLines/>
              <w:snapToGrid w:val="0"/>
              <w:spacing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sz w:val="18"/>
                <w:szCs w:val="18"/>
                <w:lang w:val="en-GB"/>
              </w:rPr>
              <w:t xml:space="preserve"> </w:t>
            </w:r>
          </w:p>
        </w:tc>
        <w:tc>
          <w:tcPr>
            <w:tcW w:w="840" w:type="dxa"/>
          </w:tcPr>
          <w:p w14:paraId="06A95DF9"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color w:val="7F7F7F" w:themeColor="text1" w:themeTint="80"/>
                <w:sz w:val="18"/>
                <w:szCs w:val="18"/>
                <w:lang w:val="en-GB"/>
              </w:rPr>
              <w:t>þ</w:t>
            </w:r>
          </w:p>
        </w:tc>
        <w:tc>
          <w:tcPr>
            <w:tcW w:w="1560" w:type="dxa"/>
          </w:tcPr>
          <w:p w14:paraId="2A86CAD6" w14:textId="77777777" w:rsidR="00CE1F5F" w:rsidRPr="00CE1F5F" w:rsidRDefault="00CE1F5F" w:rsidP="00CE1F5F">
            <w:pPr>
              <w:keepNext/>
              <w:keepLines/>
              <w:snapToGrid w:val="0"/>
              <w:spacing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sz w:val="18"/>
                <w:szCs w:val="18"/>
                <w:lang w:val="en-GB"/>
              </w:rPr>
              <w:t xml:space="preserve"> </w:t>
            </w:r>
          </w:p>
        </w:tc>
        <w:tc>
          <w:tcPr>
            <w:tcW w:w="1485" w:type="dxa"/>
          </w:tcPr>
          <w:p w14:paraId="1020421F" w14:textId="77777777" w:rsidR="00CE1F5F" w:rsidRPr="00CE1F5F" w:rsidRDefault="00CE1F5F" w:rsidP="00CE1F5F">
            <w:pPr>
              <w:keepNext/>
              <w:keepLines/>
              <w:snapToGrid w:val="0"/>
              <w:spacing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sz w:val="18"/>
                <w:szCs w:val="18"/>
                <w:lang w:val="en-GB"/>
              </w:rPr>
              <w:t xml:space="preserve"> </w:t>
            </w:r>
          </w:p>
        </w:tc>
        <w:tc>
          <w:tcPr>
            <w:tcW w:w="1755" w:type="dxa"/>
          </w:tcPr>
          <w:p w14:paraId="40955297" w14:textId="77777777" w:rsidR="00CE1F5F" w:rsidRPr="00CE1F5F" w:rsidRDefault="00CE1F5F" w:rsidP="00CE1F5F">
            <w:pPr>
              <w:keepNext/>
              <w:keepLines/>
              <w:snapToGrid w:val="0"/>
              <w:spacing w:after="0" w:line="240" w:lineRule="atLeast"/>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sz w:val="18"/>
                <w:szCs w:val="18"/>
                <w:lang w:val="en-GB"/>
              </w:rPr>
              <w:t xml:space="preserve"> </w:t>
            </w:r>
          </w:p>
        </w:tc>
      </w:tr>
      <w:tr w:rsidR="00CE1F5F" w:rsidRPr="00CE1F5F" w14:paraId="7FC159A2" w14:textId="77777777" w:rsidTr="00AD50C5">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589E387C"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Korea</w:t>
            </w:r>
            <w:r w:rsidRPr="00CE1F5F">
              <w:rPr>
                <w:rFonts w:eastAsia="Calibri" w:cs="Times New Roman"/>
                <w:sz w:val="18"/>
                <w:szCs w:val="18"/>
                <w:vertAlign w:val="superscript"/>
                <w:lang w:val="en-GB"/>
              </w:rPr>
              <w:t>8</w:t>
            </w:r>
          </w:p>
        </w:tc>
        <w:tc>
          <w:tcPr>
            <w:tcW w:w="1395" w:type="dxa"/>
          </w:tcPr>
          <w:p w14:paraId="48E9E0E3"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 xml:space="preserve"> </w:t>
            </w:r>
          </w:p>
        </w:tc>
        <w:tc>
          <w:tcPr>
            <w:tcW w:w="840" w:type="dxa"/>
          </w:tcPr>
          <w:p w14:paraId="4F653743"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color w:val="FFC000"/>
                <w:sz w:val="18"/>
                <w:szCs w:val="18"/>
                <w:lang w:val="en-GB"/>
              </w:rPr>
              <w:t>þ</w:t>
            </w:r>
          </w:p>
        </w:tc>
        <w:tc>
          <w:tcPr>
            <w:tcW w:w="1560" w:type="dxa"/>
          </w:tcPr>
          <w:p w14:paraId="7905D429"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color w:val="7F7F7F" w:themeColor="text1" w:themeTint="80"/>
                <w:sz w:val="18"/>
                <w:szCs w:val="18"/>
                <w:lang w:val="en-GB"/>
              </w:rPr>
              <w:t>þ</w:t>
            </w:r>
          </w:p>
        </w:tc>
        <w:tc>
          <w:tcPr>
            <w:tcW w:w="1485" w:type="dxa"/>
          </w:tcPr>
          <w:p w14:paraId="6FA92C64"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 xml:space="preserve"> </w:t>
            </w:r>
          </w:p>
        </w:tc>
        <w:tc>
          <w:tcPr>
            <w:tcW w:w="1755" w:type="dxa"/>
          </w:tcPr>
          <w:p w14:paraId="4818F023"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 xml:space="preserve"> </w:t>
            </w:r>
          </w:p>
        </w:tc>
      </w:tr>
      <w:tr w:rsidR="00CE1F5F" w:rsidRPr="00CE1F5F" w14:paraId="3AA9C459"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3798A3C6"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Luxembourg</w:t>
            </w:r>
            <w:r w:rsidRPr="00CE1F5F">
              <w:rPr>
                <w:rFonts w:eastAsia="Calibri" w:cs="Times New Roman"/>
                <w:sz w:val="18"/>
                <w:szCs w:val="18"/>
                <w:vertAlign w:val="superscript"/>
                <w:lang w:val="en-GB"/>
              </w:rPr>
              <w:t>9</w:t>
            </w:r>
            <w:r w:rsidRPr="00CE1F5F">
              <w:rPr>
                <w:rFonts w:eastAsia="Calibri" w:cs="Times New Roman"/>
                <w:color w:val="D13438"/>
                <w:sz w:val="18"/>
                <w:szCs w:val="18"/>
                <w:vertAlign w:val="superscript"/>
                <w:lang w:val="en-GB"/>
              </w:rPr>
              <w:t xml:space="preserve"> </w:t>
            </w:r>
          </w:p>
        </w:tc>
        <w:tc>
          <w:tcPr>
            <w:tcW w:w="7035" w:type="dxa"/>
            <w:gridSpan w:val="5"/>
          </w:tcPr>
          <w:p w14:paraId="75CFA996" w14:textId="77777777" w:rsidR="00CE1F5F" w:rsidRPr="00CE1F5F" w:rsidRDefault="00CE1F5F" w:rsidP="00CE1F5F">
            <w:pPr>
              <w:keepNext/>
              <w:keepLines/>
              <w:snapToGrid w:val="0"/>
              <w:spacing w:after="0" w:line="240" w:lineRule="atLeast"/>
              <w:ind w:lef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NI</w:t>
            </w:r>
          </w:p>
        </w:tc>
      </w:tr>
      <w:tr w:rsidR="00CE1F5F" w:rsidRPr="00CE1F5F" w14:paraId="12B623DA" w14:textId="77777777" w:rsidTr="00AD50C5">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1DDE50B1"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 xml:space="preserve">The Netherlands </w:t>
            </w:r>
            <w:r w:rsidRPr="00CE1F5F">
              <w:rPr>
                <w:rFonts w:eastAsia="Calibri" w:cs="Times New Roman"/>
                <w:sz w:val="18"/>
                <w:szCs w:val="18"/>
                <w:vertAlign w:val="superscript"/>
                <w:lang w:val="en-GB"/>
              </w:rPr>
              <w:t>10</w:t>
            </w:r>
          </w:p>
        </w:tc>
        <w:tc>
          <w:tcPr>
            <w:tcW w:w="7035" w:type="dxa"/>
            <w:gridSpan w:val="5"/>
          </w:tcPr>
          <w:p w14:paraId="74CA5F47" w14:textId="77777777" w:rsidR="00CE1F5F" w:rsidRPr="00CE1F5F" w:rsidRDefault="00CE1F5F" w:rsidP="00CE1F5F">
            <w:pPr>
              <w:keepNext/>
              <w:keepLines/>
              <w:snapToGrid w:val="0"/>
              <w:spacing w:after="0" w:line="240" w:lineRule="atLeast"/>
              <w:ind w:lef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NI</w:t>
            </w:r>
          </w:p>
        </w:tc>
      </w:tr>
      <w:tr w:rsidR="00CE1F5F" w:rsidRPr="00CE1F5F" w14:paraId="7E2177F4"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708A1BD0"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New Zealand</w:t>
            </w:r>
            <w:r w:rsidRPr="00CE1F5F">
              <w:rPr>
                <w:rFonts w:eastAsia="Calibri" w:cs="Times New Roman"/>
                <w:sz w:val="18"/>
                <w:szCs w:val="18"/>
                <w:vertAlign w:val="superscript"/>
                <w:lang w:val="en-GB"/>
              </w:rPr>
              <w:t>11</w:t>
            </w:r>
          </w:p>
        </w:tc>
        <w:tc>
          <w:tcPr>
            <w:tcW w:w="7035" w:type="dxa"/>
            <w:gridSpan w:val="5"/>
          </w:tcPr>
          <w:p w14:paraId="7D59EE8C" w14:textId="77777777" w:rsidR="00CE1F5F" w:rsidRPr="00CE1F5F" w:rsidRDefault="00CE1F5F" w:rsidP="00CE1F5F">
            <w:pPr>
              <w:keepNext/>
              <w:keepLines/>
              <w:snapToGrid w:val="0"/>
              <w:spacing w:after="0" w:line="240" w:lineRule="atLeast"/>
              <w:ind w:lef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NI</w:t>
            </w:r>
          </w:p>
        </w:tc>
      </w:tr>
      <w:tr w:rsidR="00CE1F5F" w:rsidRPr="00CE1F5F" w14:paraId="7B0F0D53" w14:textId="77777777" w:rsidTr="00AD50C5">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6503B8A9"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Norway</w:t>
            </w:r>
            <w:r w:rsidRPr="00CE1F5F">
              <w:rPr>
                <w:rFonts w:eastAsia="Calibri" w:cs="Times New Roman"/>
                <w:sz w:val="18"/>
                <w:szCs w:val="18"/>
                <w:vertAlign w:val="superscript"/>
                <w:lang w:val="en-GB"/>
              </w:rPr>
              <w:t>12</w:t>
            </w:r>
          </w:p>
        </w:tc>
        <w:tc>
          <w:tcPr>
            <w:tcW w:w="7035" w:type="dxa"/>
            <w:gridSpan w:val="5"/>
          </w:tcPr>
          <w:p w14:paraId="5AD01052" w14:textId="77777777" w:rsidR="00CE1F5F" w:rsidRPr="00CE1F5F" w:rsidRDefault="00CE1F5F" w:rsidP="00CE1F5F">
            <w:pPr>
              <w:keepNext/>
              <w:keepLines/>
              <w:snapToGrid w:val="0"/>
              <w:spacing w:after="0" w:line="240" w:lineRule="atLeast"/>
              <w:ind w:lef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NI</w:t>
            </w:r>
          </w:p>
        </w:tc>
      </w:tr>
      <w:tr w:rsidR="00CE1F5F" w:rsidRPr="00CE1F5F" w14:paraId="30C31B2A"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0B7F2CCE"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Singapore</w:t>
            </w:r>
            <w:r w:rsidRPr="00CE1F5F">
              <w:rPr>
                <w:rFonts w:eastAsia="Calibri" w:cs="Times New Roman"/>
                <w:sz w:val="18"/>
                <w:szCs w:val="18"/>
                <w:vertAlign w:val="superscript"/>
                <w:lang w:val="en-GB"/>
              </w:rPr>
              <w:t>13</w:t>
            </w:r>
            <w:r w:rsidRPr="00CE1F5F">
              <w:rPr>
                <w:rFonts w:eastAsia="Calibri" w:cs="Times New Roman"/>
                <w:color w:val="D13438"/>
                <w:sz w:val="18"/>
                <w:szCs w:val="18"/>
                <w:vertAlign w:val="superscript"/>
                <w:lang w:val="en-GB"/>
              </w:rPr>
              <w:t xml:space="preserve"> </w:t>
            </w:r>
          </w:p>
        </w:tc>
        <w:tc>
          <w:tcPr>
            <w:tcW w:w="7035" w:type="dxa"/>
            <w:gridSpan w:val="5"/>
          </w:tcPr>
          <w:p w14:paraId="28E693DC" w14:textId="77777777" w:rsidR="00CE1F5F" w:rsidRPr="00CE1F5F" w:rsidRDefault="00CE1F5F" w:rsidP="00CE1F5F">
            <w:pPr>
              <w:keepNext/>
              <w:keepLines/>
              <w:snapToGrid w:val="0"/>
              <w:spacing w:after="0" w:line="240" w:lineRule="atLeast"/>
              <w:ind w:left="0"/>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NI</w:t>
            </w:r>
          </w:p>
        </w:tc>
      </w:tr>
      <w:tr w:rsidR="00CE1F5F" w:rsidRPr="00CE1F5F" w14:paraId="63C848C7" w14:textId="77777777" w:rsidTr="00AD50C5">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47F5F598"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Spain</w:t>
            </w:r>
            <w:r w:rsidRPr="00CE1F5F">
              <w:rPr>
                <w:rFonts w:eastAsia="Calibri" w:cs="Times New Roman"/>
                <w:sz w:val="18"/>
                <w:szCs w:val="18"/>
                <w:vertAlign w:val="superscript"/>
                <w:lang w:val="en-GB"/>
              </w:rPr>
              <w:t>14</w:t>
            </w:r>
          </w:p>
        </w:tc>
        <w:tc>
          <w:tcPr>
            <w:tcW w:w="1395" w:type="dxa"/>
          </w:tcPr>
          <w:p w14:paraId="41DBB22B"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color w:val="FFC000"/>
                <w:sz w:val="18"/>
                <w:szCs w:val="18"/>
                <w:lang w:val="en-GB"/>
              </w:rPr>
              <w:t>þ</w:t>
            </w:r>
            <w:r w:rsidRPr="00CE1F5F">
              <w:rPr>
                <w:rFonts w:eastAsia="Calibri Light" w:cs="Times New Roman"/>
                <w:color w:val="000000" w:themeColor="text1"/>
                <w:sz w:val="18"/>
                <w:szCs w:val="18"/>
                <w:lang w:val="en-GB"/>
              </w:rPr>
              <w:t xml:space="preserve"> </w:t>
            </w:r>
          </w:p>
        </w:tc>
        <w:tc>
          <w:tcPr>
            <w:tcW w:w="840" w:type="dxa"/>
          </w:tcPr>
          <w:p w14:paraId="244EEF51" w14:textId="77777777" w:rsidR="00CE1F5F" w:rsidRPr="00CE1F5F" w:rsidRDefault="00CE1F5F" w:rsidP="00CE1F5F">
            <w:pPr>
              <w:keepNext/>
              <w:keepLines/>
              <w:snapToGrid w:val="0"/>
              <w:spacing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Light" w:cs="Times New Roman"/>
                <w:sz w:val="18"/>
                <w:szCs w:val="18"/>
                <w:lang w:val="en-GB"/>
              </w:rPr>
              <w:t xml:space="preserve"> </w:t>
            </w:r>
          </w:p>
        </w:tc>
        <w:tc>
          <w:tcPr>
            <w:tcW w:w="1560" w:type="dxa"/>
          </w:tcPr>
          <w:p w14:paraId="033FCC26" w14:textId="77777777" w:rsidR="00CE1F5F" w:rsidRPr="00CE1F5F" w:rsidRDefault="00CE1F5F" w:rsidP="00CE1F5F">
            <w:pPr>
              <w:keepNext/>
              <w:keepLines/>
              <w:snapToGrid w:val="0"/>
              <w:spacing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Light" w:cs="Times New Roman"/>
                <w:sz w:val="18"/>
                <w:szCs w:val="18"/>
                <w:lang w:val="en-GB"/>
              </w:rPr>
              <w:t xml:space="preserve"> </w:t>
            </w:r>
          </w:p>
        </w:tc>
        <w:tc>
          <w:tcPr>
            <w:tcW w:w="1485" w:type="dxa"/>
          </w:tcPr>
          <w:p w14:paraId="4187797D" w14:textId="77777777" w:rsidR="00CE1F5F" w:rsidRPr="00CE1F5F" w:rsidRDefault="00CE1F5F" w:rsidP="00CE1F5F">
            <w:pPr>
              <w:keepNext/>
              <w:keepLines/>
              <w:snapToGrid w:val="0"/>
              <w:spacing w:after="0" w:line="240" w:lineRule="atLeast"/>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Light" w:cs="Times New Roman"/>
                <w:sz w:val="18"/>
                <w:szCs w:val="18"/>
                <w:lang w:val="en-GB"/>
              </w:rPr>
              <w:t xml:space="preserve"> </w:t>
            </w:r>
          </w:p>
        </w:tc>
        <w:tc>
          <w:tcPr>
            <w:tcW w:w="1755" w:type="dxa"/>
          </w:tcPr>
          <w:p w14:paraId="054C8649"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Wingdings" w:cs="Times New Roman"/>
                <w:color w:val="7F7F7F" w:themeColor="text1" w:themeTint="80"/>
                <w:sz w:val="18"/>
                <w:szCs w:val="18"/>
                <w:lang w:val="en-GB"/>
              </w:rPr>
              <w:t>þ</w:t>
            </w:r>
          </w:p>
        </w:tc>
      </w:tr>
      <w:tr w:rsidR="00CE1F5F" w:rsidRPr="00CE1F5F" w14:paraId="20A482C9"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159CE538"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Sweden</w:t>
            </w:r>
            <w:r w:rsidRPr="00CE1F5F">
              <w:rPr>
                <w:rFonts w:eastAsia="Calibri" w:cs="Times New Roman"/>
                <w:sz w:val="18"/>
                <w:szCs w:val="18"/>
                <w:vertAlign w:val="superscript"/>
                <w:lang w:val="en-GB"/>
              </w:rPr>
              <w:t>15</w:t>
            </w:r>
          </w:p>
        </w:tc>
        <w:tc>
          <w:tcPr>
            <w:tcW w:w="1395" w:type="dxa"/>
          </w:tcPr>
          <w:p w14:paraId="3F12508A"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color w:val="FFC000"/>
                <w:sz w:val="18"/>
                <w:szCs w:val="18"/>
                <w:lang w:val="en-GB"/>
              </w:rPr>
              <w:t>þ</w:t>
            </w:r>
            <w:r w:rsidRPr="00CE1F5F">
              <w:rPr>
                <w:rFonts w:eastAsia="Calibri Light" w:cs="Times New Roman"/>
                <w:color w:val="000000" w:themeColor="text1"/>
                <w:sz w:val="18"/>
                <w:szCs w:val="18"/>
                <w:lang w:val="en-GB"/>
              </w:rPr>
              <w:t xml:space="preserve"> </w:t>
            </w:r>
          </w:p>
        </w:tc>
        <w:tc>
          <w:tcPr>
            <w:tcW w:w="840" w:type="dxa"/>
          </w:tcPr>
          <w:p w14:paraId="3CA884A4"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 xml:space="preserve"> </w:t>
            </w:r>
          </w:p>
        </w:tc>
        <w:tc>
          <w:tcPr>
            <w:tcW w:w="1560" w:type="dxa"/>
          </w:tcPr>
          <w:p w14:paraId="27F55E7F"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color w:val="FFC000"/>
                <w:sz w:val="18"/>
                <w:szCs w:val="18"/>
                <w:lang w:val="en-GB"/>
              </w:rPr>
              <w:t>þ</w:t>
            </w:r>
            <w:r w:rsidRPr="00CE1F5F">
              <w:rPr>
                <w:rFonts w:eastAsia="Calibri Light" w:cs="Times New Roman"/>
                <w:color w:val="000000" w:themeColor="text1"/>
                <w:sz w:val="18"/>
                <w:szCs w:val="18"/>
                <w:lang w:val="en-GB"/>
              </w:rPr>
              <w:t xml:space="preserve"> </w:t>
            </w:r>
          </w:p>
        </w:tc>
        <w:tc>
          <w:tcPr>
            <w:tcW w:w="1485" w:type="dxa"/>
          </w:tcPr>
          <w:p w14:paraId="0B36FC97"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 xml:space="preserve"> </w:t>
            </w:r>
          </w:p>
        </w:tc>
        <w:tc>
          <w:tcPr>
            <w:tcW w:w="1755" w:type="dxa"/>
          </w:tcPr>
          <w:p w14:paraId="5784E726"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color w:val="7F7F7F" w:themeColor="text1" w:themeTint="80"/>
                <w:sz w:val="18"/>
                <w:szCs w:val="18"/>
                <w:lang w:val="en-GB"/>
              </w:rPr>
              <w:t>þ</w:t>
            </w:r>
          </w:p>
        </w:tc>
      </w:tr>
      <w:tr w:rsidR="00CE1F5F" w:rsidRPr="00CE1F5F" w14:paraId="125E35AD" w14:textId="77777777" w:rsidTr="00AD50C5">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623A14A9"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Taiwan</w:t>
            </w:r>
            <w:r w:rsidRPr="00CE1F5F">
              <w:rPr>
                <w:rFonts w:eastAsia="Calibri" w:cs="Times New Roman"/>
                <w:sz w:val="18"/>
                <w:szCs w:val="18"/>
                <w:vertAlign w:val="superscript"/>
                <w:lang w:val="en-GB"/>
              </w:rPr>
              <w:t>16</w:t>
            </w:r>
          </w:p>
        </w:tc>
        <w:tc>
          <w:tcPr>
            <w:tcW w:w="7035" w:type="dxa"/>
            <w:gridSpan w:val="5"/>
          </w:tcPr>
          <w:p w14:paraId="693787B6" w14:textId="77777777" w:rsidR="00CE1F5F" w:rsidRPr="00CE1F5F" w:rsidRDefault="00CE1F5F" w:rsidP="00CE1F5F">
            <w:pPr>
              <w:keepNext/>
              <w:keepLines/>
              <w:snapToGrid w:val="0"/>
              <w:spacing w:after="0" w:line="240" w:lineRule="atLeast"/>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 xml:space="preserve">in development </w:t>
            </w:r>
          </w:p>
        </w:tc>
      </w:tr>
      <w:tr w:rsidR="00CE1F5F" w:rsidRPr="00CE1F5F" w14:paraId="6CB9BA49"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433DD82F"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England/Wales</w:t>
            </w:r>
            <w:r w:rsidRPr="00CE1F5F">
              <w:rPr>
                <w:rFonts w:eastAsia="Calibri" w:cs="Times New Roman"/>
                <w:sz w:val="18"/>
                <w:szCs w:val="18"/>
                <w:vertAlign w:val="superscript"/>
                <w:lang w:val="en-GB"/>
              </w:rPr>
              <w:t>17</w:t>
            </w:r>
          </w:p>
        </w:tc>
        <w:tc>
          <w:tcPr>
            <w:tcW w:w="1395" w:type="dxa"/>
          </w:tcPr>
          <w:p w14:paraId="369B4E9A"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 xml:space="preserve"> </w:t>
            </w:r>
          </w:p>
        </w:tc>
        <w:tc>
          <w:tcPr>
            <w:tcW w:w="840" w:type="dxa"/>
          </w:tcPr>
          <w:p w14:paraId="7F234761"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 xml:space="preserve"> </w:t>
            </w:r>
          </w:p>
        </w:tc>
        <w:tc>
          <w:tcPr>
            <w:tcW w:w="1560" w:type="dxa"/>
          </w:tcPr>
          <w:p w14:paraId="0776417D"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 xml:space="preserve"> </w:t>
            </w:r>
          </w:p>
        </w:tc>
        <w:tc>
          <w:tcPr>
            <w:tcW w:w="1485" w:type="dxa"/>
          </w:tcPr>
          <w:p w14:paraId="5EBB0597"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color w:val="FFC000"/>
                <w:sz w:val="18"/>
                <w:szCs w:val="18"/>
                <w:lang w:val="en-GB"/>
              </w:rPr>
              <w:t>þ</w:t>
            </w:r>
          </w:p>
        </w:tc>
        <w:tc>
          <w:tcPr>
            <w:tcW w:w="1755" w:type="dxa"/>
          </w:tcPr>
          <w:p w14:paraId="47D26000"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Wingdings" w:cs="Times New Roman"/>
                <w:color w:val="FFC000"/>
                <w:sz w:val="18"/>
                <w:szCs w:val="18"/>
                <w:lang w:val="en-GB"/>
              </w:rPr>
              <w:t>þ</w:t>
            </w:r>
          </w:p>
        </w:tc>
      </w:tr>
      <w:tr w:rsidR="00CE1F5F" w:rsidRPr="00CE1F5F" w14:paraId="62FCB604" w14:textId="77777777" w:rsidTr="00AD50C5">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2C2C7E01"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sz w:val="18"/>
                <w:szCs w:val="18"/>
                <w:lang w:val="en-GB"/>
              </w:rPr>
              <w:t>UK (Scotland)</w:t>
            </w:r>
            <w:r w:rsidRPr="00CE1F5F">
              <w:rPr>
                <w:rFonts w:eastAsia="Calibri" w:cs="Times New Roman"/>
                <w:sz w:val="18"/>
                <w:szCs w:val="18"/>
                <w:vertAlign w:val="superscript"/>
                <w:lang w:val="en-GB"/>
              </w:rPr>
              <w:t>18</w:t>
            </w:r>
          </w:p>
        </w:tc>
        <w:tc>
          <w:tcPr>
            <w:tcW w:w="7035" w:type="dxa"/>
            <w:gridSpan w:val="5"/>
          </w:tcPr>
          <w:p w14:paraId="41EAAD07" w14:textId="77777777" w:rsidR="00CE1F5F" w:rsidRPr="00CE1F5F" w:rsidRDefault="00CE1F5F" w:rsidP="00CE1F5F">
            <w:pPr>
              <w:keepNext/>
              <w:keepLines/>
              <w:snapToGrid w:val="0"/>
              <w:spacing w:after="0" w:line="240" w:lineRule="atLeast"/>
              <w:ind w:left="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GB"/>
              </w:rPr>
            </w:pPr>
            <w:r w:rsidRPr="00CE1F5F">
              <w:rPr>
                <w:rFonts w:eastAsia="Calibri Light" w:cs="Times New Roman"/>
                <w:color w:val="000000" w:themeColor="text1"/>
                <w:sz w:val="18"/>
                <w:szCs w:val="18"/>
                <w:lang w:val="en-GB"/>
              </w:rPr>
              <w:t>NI</w:t>
            </w:r>
          </w:p>
        </w:tc>
      </w:tr>
      <w:tr w:rsidR="00CE1F5F" w:rsidRPr="00CE1F5F" w14:paraId="60CB1561" w14:textId="77777777" w:rsidTr="00AD5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shd w:val="clear" w:color="auto" w:fill="0070C0"/>
          </w:tcPr>
          <w:p w14:paraId="13DF9471" w14:textId="77777777" w:rsidR="00CE1F5F" w:rsidRPr="00CE1F5F" w:rsidRDefault="00CE1F5F" w:rsidP="00CE1F5F">
            <w:pPr>
              <w:keepNext/>
              <w:keepLines/>
              <w:snapToGrid w:val="0"/>
              <w:spacing w:after="0" w:line="240" w:lineRule="atLeast"/>
              <w:rPr>
                <w:rFonts w:cs="Times New Roman"/>
                <w:sz w:val="18"/>
                <w:szCs w:val="18"/>
                <w:lang w:val="en-GB"/>
              </w:rPr>
            </w:pPr>
            <w:r w:rsidRPr="00CE1F5F">
              <w:rPr>
                <w:rFonts w:eastAsia="Calibri" w:cs="Times New Roman"/>
                <w:b/>
                <w:sz w:val="18"/>
                <w:szCs w:val="18"/>
                <w:lang w:val="en-GB"/>
              </w:rPr>
              <w:t>TOTAL</w:t>
            </w:r>
            <w:r w:rsidRPr="00CE1F5F">
              <w:rPr>
                <w:rFonts w:eastAsia="Calibri" w:cs="Times New Roman"/>
                <w:b/>
                <w:color w:val="D13438"/>
                <w:sz w:val="18"/>
                <w:szCs w:val="18"/>
                <w:lang w:val="en-GB"/>
              </w:rPr>
              <w:t xml:space="preserve"> </w:t>
            </w:r>
          </w:p>
        </w:tc>
        <w:tc>
          <w:tcPr>
            <w:tcW w:w="1395" w:type="dxa"/>
          </w:tcPr>
          <w:p w14:paraId="034E767E"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b/>
                <w:color w:val="000000" w:themeColor="text1"/>
                <w:sz w:val="18"/>
                <w:szCs w:val="18"/>
                <w:lang w:val="en-GB"/>
              </w:rPr>
              <w:t xml:space="preserve">6 </w:t>
            </w:r>
          </w:p>
        </w:tc>
        <w:tc>
          <w:tcPr>
            <w:tcW w:w="840" w:type="dxa"/>
          </w:tcPr>
          <w:p w14:paraId="74245F2A"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b/>
                <w:color w:val="000000" w:themeColor="text1"/>
                <w:sz w:val="18"/>
                <w:szCs w:val="18"/>
                <w:lang w:val="en-GB"/>
              </w:rPr>
              <w:t xml:space="preserve">5 </w:t>
            </w:r>
          </w:p>
        </w:tc>
        <w:tc>
          <w:tcPr>
            <w:tcW w:w="1560" w:type="dxa"/>
          </w:tcPr>
          <w:p w14:paraId="3263D296"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b/>
                <w:color w:val="000000" w:themeColor="text1"/>
                <w:sz w:val="18"/>
                <w:szCs w:val="18"/>
                <w:lang w:val="en-GB"/>
              </w:rPr>
              <w:t xml:space="preserve">4 </w:t>
            </w:r>
          </w:p>
        </w:tc>
        <w:tc>
          <w:tcPr>
            <w:tcW w:w="1485" w:type="dxa"/>
          </w:tcPr>
          <w:p w14:paraId="3A928681"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b/>
                <w:color w:val="000000" w:themeColor="text1"/>
                <w:sz w:val="18"/>
                <w:szCs w:val="18"/>
                <w:lang w:val="en-GB"/>
              </w:rPr>
              <w:t xml:space="preserve">2 </w:t>
            </w:r>
          </w:p>
        </w:tc>
        <w:tc>
          <w:tcPr>
            <w:tcW w:w="1755" w:type="dxa"/>
          </w:tcPr>
          <w:p w14:paraId="223EDDAE" w14:textId="77777777" w:rsidR="00CE1F5F" w:rsidRPr="00CE1F5F" w:rsidRDefault="00CE1F5F" w:rsidP="00CE1F5F">
            <w:pPr>
              <w:keepNext/>
              <w:keepLines/>
              <w:snapToGrid w:val="0"/>
              <w:spacing w:after="0" w:line="240" w:lineRule="atLeast"/>
              <w:jc w:val="center"/>
              <w:cnfStyle w:val="000000010000" w:firstRow="0" w:lastRow="0" w:firstColumn="0" w:lastColumn="0" w:oddVBand="0" w:evenVBand="0" w:oddHBand="0" w:evenHBand="1" w:firstRowFirstColumn="0" w:firstRowLastColumn="0" w:lastRowFirstColumn="0" w:lastRowLastColumn="0"/>
              <w:rPr>
                <w:rFonts w:cs="Times New Roman"/>
                <w:sz w:val="18"/>
                <w:szCs w:val="18"/>
                <w:lang w:val="en-GB"/>
              </w:rPr>
            </w:pPr>
            <w:r w:rsidRPr="00CE1F5F">
              <w:rPr>
                <w:rFonts w:eastAsia="Calibri Light" w:cs="Times New Roman"/>
                <w:b/>
                <w:color w:val="000000" w:themeColor="text1"/>
                <w:sz w:val="18"/>
                <w:szCs w:val="18"/>
                <w:lang w:val="en-GB"/>
              </w:rPr>
              <w:t>6</w:t>
            </w:r>
          </w:p>
        </w:tc>
      </w:tr>
    </w:tbl>
    <w:p w14:paraId="208ED303" w14:textId="77777777" w:rsidR="00E14F70" w:rsidRPr="00CE1F5F" w:rsidRDefault="00E14F70" w:rsidP="00CE1F5F">
      <w:pPr>
        <w:snapToGrid w:val="0"/>
        <w:spacing w:after="0" w:line="160" w:lineRule="atLeast"/>
        <w:rPr>
          <w:rFonts w:ascii="ＭＳ Ｐ明朝" w:hAnsi="ＭＳ Ｐ明朝"/>
          <w:sz w:val="18"/>
          <w:szCs w:val="18"/>
          <w:lang w:val="en-GB" w:eastAsia="ja-JP"/>
        </w:rPr>
      </w:pPr>
      <w:r w:rsidRPr="00CE1F5F">
        <w:rPr>
          <w:rFonts w:ascii="ＭＳ Ｐ明朝" w:hAnsi="ＭＳ Ｐ明朝" w:hint="eastAsia"/>
          <w:sz w:val="18"/>
          <w:szCs w:val="18"/>
          <w:lang w:val="en-GB" w:eastAsia="ja-JP"/>
        </w:rPr>
        <w:t>略語：</w:t>
      </w:r>
      <w:proofErr w:type="spellStart"/>
      <w:r w:rsidRPr="00CE1F5F">
        <w:rPr>
          <w:rFonts w:ascii="ＭＳ Ｐ明朝" w:hAnsi="ＭＳ Ｐ明朝" w:hint="eastAsia"/>
          <w:sz w:val="18"/>
          <w:szCs w:val="18"/>
          <w:lang w:val="en-GB" w:eastAsia="ja-JP"/>
        </w:rPr>
        <w:t>PbR</w:t>
      </w:r>
      <w:proofErr w:type="spellEnd"/>
      <w:r w:rsidRPr="00CE1F5F">
        <w:rPr>
          <w:rFonts w:ascii="ＭＳ Ｐ明朝" w:hAnsi="ＭＳ Ｐ明朝" w:hint="eastAsia"/>
          <w:sz w:val="18"/>
          <w:szCs w:val="18"/>
          <w:lang w:val="en-GB" w:eastAsia="ja-JP"/>
        </w:rPr>
        <w:t>（Patient by result）、CED（Coverage with Evidence Development）、CTC（Conditional Treatment Continuation）、NI（None Identified）。</w:t>
      </w:r>
    </w:p>
    <w:p w14:paraId="2241EEFC" w14:textId="77777777" w:rsidR="00E14F70" w:rsidRPr="00CE1F5F" w:rsidRDefault="00E14F70" w:rsidP="00CE1F5F">
      <w:pPr>
        <w:snapToGrid w:val="0"/>
        <w:spacing w:after="0" w:line="160" w:lineRule="atLeast"/>
        <w:rPr>
          <w:rFonts w:ascii="ＭＳ Ｐ明朝" w:hAnsi="ＭＳ Ｐ明朝"/>
          <w:sz w:val="18"/>
          <w:szCs w:val="18"/>
          <w:lang w:val="en-GB" w:eastAsia="ja-JP"/>
        </w:rPr>
      </w:pPr>
      <w:r w:rsidRPr="00CE1F5F">
        <w:rPr>
          <w:rFonts w:ascii="ＭＳ Ｐ明朝" w:hAnsi="ＭＳ Ｐ明朝" w:hint="eastAsia"/>
          <w:sz w:val="18"/>
          <w:szCs w:val="18"/>
          <w:lang w:val="en-GB" w:eastAsia="ja-JP"/>
        </w:rPr>
        <w:t>注：</w:t>
      </w:r>
    </w:p>
    <w:p w14:paraId="231E7BF6"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オーストラリア：人口に対するCEDは十分に文書化されている。専門家意見（オーストラリア保健省HTAレビュー参照委員会2023年8月14日）によると、CAR-T療法に対しても患者レベルCEDが導入されている。2005年から2017年の治療に対してCTCが確認された。CTCの使用と、価格設定のある一部のもの（</w:t>
      </w:r>
      <w:proofErr w:type="spellStart"/>
      <w:r w:rsidRPr="00CE1F5F">
        <w:rPr>
          <w:rFonts w:ascii="ＭＳ Ｐ明朝" w:eastAsia="ＭＳ Ｐ明朝" w:hAnsi="ＭＳ Ｐ明朝" w:hint="eastAsia"/>
          <w:sz w:val="18"/>
          <w:szCs w:val="18"/>
          <w:lang w:val="en-GB" w:eastAsia="ja-JP"/>
        </w:rPr>
        <w:t>PbR</w:t>
      </w:r>
      <w:proofErr w:type="spellEnd"/>
      <w:r w:rsidRPr="00CE1F5F">
        <w:rPr>
          <w:rFonts w:ascii="ＭＳ Ｐ明朝" w:eastAsia="ＭＳ Ｐ明朝" w:hAnsi="ＭＳ Ｐ明朝" w:hint="eastAsia"/>
          <w:sz w:val="18"/>
          <w:szCs w:val="18"/>
          <w:lang w:val="en-GB" w:eastAsia="ja-JP"/>
        </w:rPr>
        <w:t>）が確認された。</w:t>
      </w:r>
    </w:p>
    <w:p w14:paraId="638641DD"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ベルギー：CED契約が一般的。</w:t>
      </w:r>
      <w:proofErr w:type="spellStart"/>
      <w:r w:rsidRPr="00CE1F5F">
        <w:rPr>
          <w:rFonts w:ascii="ＭＳ Ｐ明朝" w:eastAsia="ＭＳ Ｐ明朝" w:hAnsi="ＭＳ Ｐ明朝" w:hint="eastAsia"/>
          <w:sz w:val="18"/>
          <w:szCs w:val="18"/>
          <w:lang w:val="en-GB" w:eastAsia="ja-JP"/>
        </w:rPr>
        <w:t>PbR</w:t>
      </w:r>
      <w:proofErr w:type="spellEnd"/>
      <w:r w:rsidRPr="00CE1F5F">
        <w:rPr>
          <w:rFonts w:ascii="ＭＳ Ｐ明朝" w:eastAsia="ＭＳ Ｐ明朝" w:hAnsi="ＭＳ Ｐ明朝" w:hint="eastAsia"/>
          <w:sz w:val="18"/>
          <w:szCs w:val="18"/>
          <w:lang w:val="en-GB" w:eastAsia="ja-JP"/>
        </w:rPr>
        <w:t>も使用されている。</w:t>
      </w:r>
    </w:p>
    <w:p w14:paraId="3099AFA6"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カナダ：学会発表から、MEAが開発中であることが示されている。</w:t>
      </w:r>
    </w:p>
    <w:p w14:paraId="12F45085"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フランス：患者</w:t>
      </w:r>
      <w:proofErr w:type="spellStart"/>
      <w:r w:rsidRPr="00CE1F5F">
        <w:rPr>
          <w:rFonts w:ascii="ＭＳ Ｐ明朝" w:eastAsia="ＭＳ Ｐ明朝" w:hAnsi="ＭＳ Ｐ明朝" w:hint="eastAsia"/>
          <w:sz w:val="18"/>
          <w:szCs w:val="18"/>
          <w:lang w:val="en-GB" w:eastAsia="ja-JP"/>
        </w:rPr>
        <w:t>PbR</w:t>
      </w:r>
      <w:proofErr w:type="spellEnd"/>
      <w:r w:rsidRPr="00CE1F5F">
        <w:rPr>
          <w:rFonts w:ascii="ＭＳ Ｐ明朝" w:eastAsia="ＭＳ Ｐ明朝" w:hAnsi="ＭＳ Ｐ明朝" w:hint="eastAsia"/>
          <w:sz w:val="18"/>
          <w:szCs w:val="18"/>
          <w:lang w:val="en-GB" w:eastAsia="ja-JP"/>
        </w:rPr>
        <w:t>および人口レベルCEDが確認されている。</w:t>
      </w:r>
    </w:p>
    <w:p w14:paraId="41C1B04B"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ドイツ：ドイツHTAとのインタビューに基づき、当初の12か月後、最長10年間、期間の長短は異なるが、アドホックなCEDが使用される可能性がある。コスト効果ではなく、便益と財政的影響に重点が置かれる。</w:t>
      </w:r>
    </w:p>
    <w:p w14:paraId="3E950D01"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日本：医療サービスについては患者単位のCEDが導入されている。</w:t>
      </w:r>
    </w:p>
    <w:p w14:paraId="7720BE72"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韓国。</w:t>
      </w:r>
    </w:p>
    <w:p w14:paraId="3E370883"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イタリア：2020年までのMEAを指す。イタリアは</w:t>
      </w:r>
      <w:proofErr w:type="spellStart"/>
      <w:r w:rsidRPr="00CE1F5F">
        <w:rPr>
          <w:rFonts w:ascii="ＭＳ Ｐ明朝" w:eastAsia="ＭＳ Ｐ明朝" w:hAnsi="ＭＳ Ｐ明朝" w:hint="eastAsia"/>
          <w:sz w:val="18"/>
          <w:szCs w:val="18"/>
          <w:lang w:val="en-GB" w:eastAsia="ja-JP"/>
        </w:rPr>
        <w:t>PbR</w:t>
      </w:r>
      <w:proofErr w:type="spellEnd"/>
      <w:r w:rsidRPr="00CE1F5F">
        <w:rPr>
          <w:rFonts w:ascii="ＭＳ Ｐ明朝" w:eastAsia="ＭＳ Ｐ明朝" w:hAnsi="ＭＳ Ｐ明朝" w:hint="eastAsia"/>
          <w:sz w:val="18"/>
          <w:szCs w:val="18"/>
          <w:lang w:val="en-GB" w:eastAsia="ja-JP"/>
        </w:rPr>
        <w:t>から費用分担と上限設定モデルへの移行を進めている。CTCは2007年に確認された。</w:t>
      </w:r>
    </w:p>
    <w:p w14:paraId="604E4F0C"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ルクセンブルク：特定の枠組みは特定されていない。財務MEAの使用が報告されている。RSA/割引/リベートが最も一般的であり、他で確認されていない場合はこれが適用されると想定される。</w:t>
      </w:r>
    </w:p>
    <w:p w14:paraId="373B67CF"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オランダでは、2015年までは実績ベースのMEAのみが存在していた。現在、新しいアプローチが導入されている。</w:t>
      </w:r>
    </w:p>
    <w:p w14:paraId="7D0A51FA"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ニュージーランド：積極的な投資撤退プロセス、予算編成、入札および交渉、参照価格設定を利用。</w:t>
      </w:r>
    </w:p>
    <w:p w14:paraId="0FF7E599"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ノルウェー：MEAは確認されていない。</w:t>
      </w:r>
    </w:p>
    <w:p w14:paraId="342FE923"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シンガポール：シンガポールとの協議により、現在実績ベースのMEAは利用していないことが確認された。</w:t>
      </w:r>
    </w:p>
    <w:p w14:paraId="2D0FB34A"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スペイン：</w:t>
      </w:r>
      <w:proofErr w:type="spellStart"/>
      <w:r w:rsidRPr="00CE1F5F">
        <w:rPr>
          <w:rFonts w:ascii="ＭＳ Ｐ明朝" w:eastAsia="ＭＳ Ｐ明朝" w:hAnsi="ＭＳ Ｐ明朝" w:hint="eastAsia"/>
          <w:sz w:val="18"/>
          <w:szCs w:val="18"/>
          <w:lang w:val="en-GB" w:eastAsia="ja-JP"/>
        </w:rPr>
        <w:t>PbR</w:t>
      </w:r>
      <w:proofErr w:type="spellEnd"/>
      <w:r w:rsidRPr="00CE1F5F">
        <w:rPr>
          <w:rFonts w:ascii="ＭＳ Ｐ明朝" w:eastAsia="ＭＳ Ｐ明朝" w:hAnsi="ＭＳ Ｐ明朝" w:hint="eastAsia"/>
          <w:sz w:val="18"/>
          <w:szCs w:val="18"/>
          <w:lang w:val="en-GB" w:eastAsia="ja-JP"/>
        </w:rPr>
        <w:t>が確認された。人口ベースのCEDが確認された。</w:t>
      </w:r>
    </w:p>
    <w:p w14:paraId="4E5DF3FA"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スウェーデン。</w:t>
      </w:r>
    </w:p>
    <w:p w14:paraId="05658C59"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台湾：MEAは特定されていない。</w:t>
      </w:r>
    </w:p>
    <w:p w14:paraId="23C5F399"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イギリス（イングランド/ウェールズ）：2002年に人口ベースのCEDと</w:t>
      </w:r>
      <w:proofErr w:type="spellStart"/>
      <w:r w:rsidRPr="00CE1F5F">
        <w:rPr>
          <w:rFonts w:ascii="ＭＳ Ｐ明朝" w:eastAsia="ＭＳ Ｐ明朝" w:hAnsi="ＭＳ Ｐ明朝" w:hint="eastAsia"/>
          <w:sz w:val="18"/>
          <w:szCs w:val="18"/>
          <w:lang w:val="en-GB" w:eastAsia="ja-JP"/>
        </w:rPr>
        <w:t>PbR</w:t>
      </w:r>
      <w:proofErr w:type="spellEnd"/>
      <w:r w:rsidRPr="00CE1F5F">
        <w:rPr>
          <w:rFonts w:ascii="ＭＳ Ｐ明朝" w:eastAsia="ＭＳ Ｐ明朝" w:hAnsi="ＭＳ Ｐ明朝" w:hint="eastAsia"/>
          <w:sz w:val="18"/>
          <w:szCs w:val="18"/>
          <w:lang w:val="en-GB" w:eastAsia="ja-JP"/>
        </w:rPr>
        <w:t>が発見された。</w:t>
      </w:r>
    </w:p>
    <w:p w14:paraId="7C1EF012" w14:textId="77777777" w:rsidR="00E14F70" w:rsidRPr="00CE1F5F" w:rsidRDefault="00E14F70">
      <w:pPr>
        <w:pStyle w:val="a"/>
        <w:numPr>
          <w:ilvl w:val="0"/>
          <w:numId w:val="32"/>
        </w:numPr>
        <w:snapToGrid w:val="0"/>
        <w:spacing w:before="0" w:after="0" w:line="160" w:lineRule="atLeast"/>
        <w:contextualSpacing w:val="0"/>
        <w:rPr>
          <w:rFonts w:ascii="ＭＳ Ｐ明朝" w:eastAsia="ＭＳ Ｐ明朝" w:hAnsi="ＭＳ Ｐ明朝"/>
          <w:sz w:val="18"/>
          <w:szCs w:val="18"/>
          <w:lang w:val="en-GB" w:eastAsia="ja-JP"/>
        </w:rPr>
      </w:pPr>
      <w:r w:rsidRPr="00CE1F5F">
        <w:rPr>
          <w:rFonts w:ascii="ＭＳ Ｐ明朝" w:eastAsia="ＭＳ Ｐ明朝" w:hAnsi="ＭＳ Ｐ明朝" w:hint="eastAsia"/>
          <w:sz w:val="18"/>
          <w:szCs w:val="18"/>
          <w:lang w:val="en-GB" w:eastAsia="ja-JP"/>
        </w:rPr>
        <w:t>スコットランド。</w:t>
      </w:r>
    </w:p>
    <w:p w14:paraId="49ECEB48" w14:textId="6EB64744" w:rsidR="00E14F70" w:rsidRPr="00E14F70" w:rsidRDefault="00E14F70" w:rsidP="00CE1F5F">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lastRenderedPageBreak/>
        <w:t>MEAは主に、腫瘍学や希少疾患における高額な治療薬に用いられている。これらの合意は、これらの治療分野における不確実性を解消し、革新的な治療へのタイムリーなアクセスを確保することを目的としている。MEAは、医薬品に加えて、英国、韓国、日本、米国などの国々では医療機器にも利用されている。</w:t>
      </w:r>
    </w:p>
    <w:p w14:paraId="4158E176" w14:textId="77777777" w:rsidR="00E14F70" w:rsidRPr="00E14F70" w:rsidRDefault="00E14F70" w:rsidP="00CE1F5F">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国際的には、処方箋、保険請求、既存疾患登録、電子カルテなどの日常的な管理データが、実績に基づく契約を実行するために使用されるデータのほぼ50%を占めている。その他の一般的なデータソースとしては、MEA独自の登録、前向き研究（37.5%）、市販後臨床試験/研究データ（13.5%）などがある。市販後臨床試験/研究データとは、臨床試験という管理された環境を超えて、製品の安全性、有効性、実際の使用状況における性能を評価するために実施される研究を指す。オーストラリアでは、MEAは通常、市販後データと疾患別の登録データに依存している。</w:t>
      </w:r>
    </w:p>
    <w:p w14:paraId="47A01615" w14:textId="77777777" w:rsidR="00E14F70" w:rsidRPr="00E14F70" w:rsidRDefault="00E14F70" w:rsidP="00CE1F5F">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マネージド・エントリー・スキームの実施には、いくつかの課題や障害が指摘されている。有効性と不確実性：特に実績ベースのMEAは、不確実性がある中でも保険適用決定を促進し、患者が新薬へのアクセスを改善することが分かっている。しかし、臨床的および費用対効果に関する不確実性を軽減するかどうかについては、依然として疑問が残っている。その主な理由は、健康上の結果に関する長期データの入手可能性の制限やその他のデータ品質の問題である。その結果、いくつかの国は、CED契約ではなく一時的な保険適用を提供するためにMEAの枠組みを適応させている。例えばスウェーデンでは、スポンサーによる追加エビデンスの提供を条件として、2年間の条件付き保険償還を認めている。エビデンスは市販後調査、RWE分析、その他の研究方法によって生成される。指定期間が過ぎると、その製品は再評価され、恒久的な保険償還、投資中止、価格調整の勧告につながる可能性がある。この期間中は、経済的な根拠に基づくMEAが適用される可能性があるが、追加的なエビデンスの生成に直接結びつくものではない。注目すべき点として、こうした取り決めは価格調整につながることがあるが、今日まで、投資撤退につながるケースはない。</w:t>
      </w:r>
    </w:p>
    <w:p w14:paraId="28896151" w14:textId="77777777" w:rsidR="00E14F70" w:rsidRPr="00E14F70" w:rsidRDefault="00E14F70" w:rsidP="00CE1F5F">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オランダも、CEDに関する国家戦略を修正し、正式なMEAによらない制限付きまたは条件付き適用などの代替アプローチを優先し、合意の廃止を選択している。</w:t>
      </w:r>
    </w:p>
    <w:p w14:paraId="45D1AFCB" w14:textId="77777777" w:rsidR="00E14F70" w:rsidRPr="00E14F70" w:rsidRDefault="00E14F70" w:rsidP="00CE1F5F">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モニタリング、データ収集・分析、レビューに伴う管理上の負担：特に、患者の反応をモニタリングし、支払いまたは払い戻しの発動を決定するために日常的なデータ収集に依存するMEA（例：</w:t>
      </w:r>
      <w:proofErr w:type="spellStart"/>
      <w:r w:rsidRPr="00E14F70">
        <w:rPr>
          <w:rFonts w:ascii="ＭＳ Ｐ明朝" w:hAnsi="ＭＳ Ｐ明朝" w:hint="eastAsia"/>
          <w:sz w:val="20"/>
          <w:szCs w:val="20"/>
          <w:lang w:val="en-GB" w:eastAsia="ja-JP"/>
        </w:rPr>
        <w:t>PbR</w:t>
      </w:r>
      <w:proofErr w:type="spellEnd"/>
      <w:r w:rsidRPr="00E14F70">
        <w:rPr>
          <w:rFonts w:ascii="ＭＳ Ｐ明朝" w:hAnsi="ＭＳ Ｐ明朝" w:hint="eastAsia"/>
          <w:sz w:val="20"/>
          <w:szCs w:val="20"/>
          <w:lang w:val="en-GB" w:eastAsia="ja-JP"/>
        </w:rPr>
        <w:t>）では、管理上の負担が大きいことが顕著である。イタリアのようにMEA専用にレジストリが設立されるケースでは、医療従事者による追加のデータ収集と、支払い側またはサービス提供側によるデータ分析のための相当なリソースが必要となる。イタリアをはじめとするいくつかの国では、RWEの生成と利用における強固なデジタルインフラの価値が実証されている。このようなエビデンスを活用することで、より効果的な実績ベースのMEAを実現し、革新的な治療へのアクセスを向上させることができる可能性がある。特にイタリアのレジストリモデルは、MEAの実施における一元化されたデータ収集の利用を強調している。このモデルの主な特徴は以下のとおりである。</w:t>
      </w:r>
    </w:p>
    <w:p w14:paraId="159013F2" w14:textId="77777777" w:rsidR="00E14F70" w:rsidRPr="00E14F70" w:rsidRDefault="00E14F70" w:rsidP="00CE1F5F">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lastRenderedPageBreak/>
        <w:t>スポンサーが負担する30,000ユーロの登録料。この登録料は、スポンサーの製品を3年間登録する費用として支払われる。この費用は、レジストリの継続的な管理、運営、技術インフラ、および継続的な改善に充てられる。</w:t>
      </w:r>
    </w:p>
    <w:p w14:paraId="5359E1FC" w14:textId="77777777" w:rsidR="00E14F70" w:rsidRPr="00E14F70" w:rsidRDefault="00E14F70" w:rsidP="00CE1F5F">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イタリア医薬品庁（</w:t>
      </w:r>
      <w:proofErr w:type="spellStart"/>
      <w:r w:rsidRPr="00E14F70">
        <w:rPr>
          <w:rFonts w:ascii="ＭＳ Ｐ明朝" w:hAnsi="ＭＳ Ｐ明朝" w:hint="eastAsia"/>
          <w:sz w:val="20"/>
          <w:szCs w:val="20"/>
          <w:lang w:val="en-GB" w:eastAsia="ja-JP"/>
        </w:rPr>
        <w:t>Agenzia</w:t>
      </w:r>
      <w:proofErr w:type="spellEnd"/>
      <w:r w:rsidRPr="00E14F70">
        <w:rPr>
          <w:rFonts w:ascii="ＭＳ Ｐ明朝" w:hAnsi="ＭＳ Ｐ明朝" w:hint="eastAsia"/>
          <w:sz w:val="20"/>
          <w:szCs w:val="20"/>
          <w:lang w:val="en-GB" w:eastAsia="ja-JP"/>
        </w:rPr>
        <w:t xml:space="preserve"> </w:t>
      </w:r>
      <w:proofErr w:type="spellStart"/>
      <w:r w:rsidRPr="00E14F70">
        <w:rPr>
          <w:rFonts w:ascii="ＭＳ Ｐ明朝" w:hAnsi="ＭＳ Ｐ明朝" w:hint="eastAsia"/>
          <w:sz w:val="20"/>
          <w:szCs w:val="20"/>
          <w:lang w:val="en-GB" w:eastAsia="ja-JP"/>
        </w:rPr>
        <w:t>Italiana</w:t>
      </w:r>
      <w:proofErr w:type="spellEnd"/>
      <w:r w:rsidRPr="00E14F70">
        <w:rPr>
          <w:rFonts w:ascii="ＭＳ Ｐ明朝" w:hAnsi="ＭＳ Ｐ明朝" w:hint="eastAsia"/>
          <w:sz w:val="20"/>
          <w:szCs w:val="20"/>
          <w:lang w:val="en-GB" w:eastAsia="ja-JP"/>
        </w:rPr>
        <w:t xml:space="preserve"> del </w:t>
      </w:r>
      <w:proofErr w:type="spellStart"/>
      <w:r w:rsidRPr="00E14F70">
        <w:rPr>
          <w:rFonts w:ascii="ＭＳ Ｐ明朝" w:hAnsi="ＭＳ Ｐ明朝" w:hint="eastAsia"/>
          <w:sz w:val="20"/>
          <w:szCs w:val="20"/>
          <w:lang w:val="en-GB" w:eastAsia="ja-JP"/>
        </w:rPr>
        <w:t>Farmaco</w:t>
      </w:r>
      <w:proofErr w:type="spellEnd"/>
      <w:r w:rsidRPr="00E14F70">
        <w:rPr>
          <w:rFonts w:ascii="ＭＳ Ｐ明朝" w:hAnsi="ＭＳ Ｐ明朝" w:hint="eastAsia"/>
          <w:sz w:val="20"/>
          <w:szCs w:val="20"/>
          <w:lang w:val="en-GB" w:eastAsia="ja-JP"/>
        </w:rPr>
        <w:t>、AIFA）はデータの唯一の保管者であり、処方データが正確かつ一貫して入力され、レジストリシステムが償還と整合するように、レジストリのガバナンス全般に責任を負う。</w:t>
      </w:r>
    </w:p>
    <w:p w14:paraId="3A3F6DCB" w14:textId="77777777" w:rsidR="00E14F70" w:rsidRPr="00E14F70" w:rsidRDefault="00E14F70" w:rsidP="00CE1F5F">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償還との統合：AIFAは、レジストリシステムを償還プロセスと統合する。医療提供者は、処方または償還を受ける前に、AIFAレジストリシステムにデータを入力しなければならない。</w:t>
      </w:r>
    </w:p>
    <w:p w14:paraId="4767BD49" w14:textId="712EECCF" w:rsidR="00E14F70" w:rsidRPr="00E14F70" w:rsidRDefault="00E14F70" w:rsidP="00CE1F5F">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機密保持に関する懸念</w:t>
      </w:r>
      <w:r w:rsidR="00CE1F5F">
        <w:rPr>
          <w:rFonts w:ascii="ＭＳ Ｐ明朝" w:hAnsi="ＭＳ Ｐ明朝" w:hint="eastAsia"/>
          <w:sz w:val="20"/>
          <w:szCs w:val="20"/>
          <w:lang w:val="en-GB" w:eastAsia="ja-JP"/>
        </w:rPr>
        <w:t xml:space="preserve">：　</w:t>
      </w:r>
      <w:r w:rsidRPr="00E14F70">
        <w:rPr>
          <w:rFonts w:ascii="ＭＳ Ｐ明朝" w:hAnsi="ＭＳ Ｐ明朝" w:hint="eastAsia"/>
          <w:sz w:val="20"/>
          <w:szCs w:val="20"/>
          <w:lang w:val="en-GB" w:eastAsia="ja-JP"/>
        </w:rPr>
        <w:t>MEAにおける高いレベルの機密保持（製品性能情報の非開示を含む）は、第三者との情報共有を妨げ、支払者による保険適用決定を複雑にする可能性がある。また、ステークホルダーは、有効性、費用対効果、比較薬価に関する透明性の欠如も問題であると報告している。現在、オーストラリアでは、ハイブリッド方式を含む幅広いMEAが採用されている。経済条件、データ分析結果、製品の有効性に関する透明性の欠如は、MEAの国際的な独立評価における限界として認識されており、オーストラリアは、この点において比較的高いレベルの機密性を保持している国として特に指摘されている。</w:t>
      </w:r>
    </w:p>
    <w:p w14:paraId="2604D318" w14:textId="04C8BA57" w:rsidR="00E14F70" w:rsidRPr="00E14F70" w:rsidRDefault="00E14F70" w:rsidP="00CE1F5F">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その他の問題点：その他の課題としては、支払者による価格引き下げ、スポンサーへの支払い回収、投資撤退の困難さなどが挙げられる。さらに、これらの問題を複雑化させているのが、上場後のスポンサーによる追加データの収集を奨励しない可能性があるそれぞれの規制環境である。</w:t>
      </w:r>
    </w:p>
    <w:p w14:paraId="357C0103" w14:textId="34E673A9" w:rsidR="00E14F70" w:rsidRDefault="00E14F70" w:rsidP="00CE1F5F">
      <w:pPr>
        <w:spacing w:afterLines="50" w:after="200" w:line="240" w:lineRule="auto"/>
        <w:ind w:firstLineChars="100" w:firstLine="224"/>
        <w:rPr>
          <w:rFonts w:ascii="ＭＳ Ｐ明朝" w:hAnsi="ＭＳ Ｐ明朝"/>
          <w:sz w:val="20"/>
          <w:szCs w:val="20"/>
          <w:lang w:val="en-GB" w:eastAsia="ja-JP"/>
        </w:rPr>
      </w:pPr>
      <w:r w:rsidRPr="00E14F70">
        <w:rPr>
          <w:rFonts w:ascii="ＭＳ Ｐ明朝" w:hAnsi="ＭＳ Ｐ明朝" w:hint="eastAsia"/>
          <w:sz w:val="20"/>
          <w:szCs w:val="20"/>
          <w:lang w:val="en-GB" w:eastAsia="ja-JP"/>
        </w:rPr>
        <w:t>全体として、MEAの効果的な実施には、事務負担への対応、透明性の向上、データインフラの強化、リスクの全体的な評価が必要である。新興治療薬のためのMEAを改良するため、世界中で革新的なアプローチが模索されている。</w:t>
      </w:r>
    </w:p>
    <w:p w14:paraId="2EF748B5" w14:textId="77777777" w:rsidR="00E14F70" w:rsidRDefault="00E14F70" w:rsidP="00594E75">
      <w:pPr>
        <w:spacing w:afterLines="50" w:after="200" w:line="240" w:lineRule="auto"/>
        <w:rPr>
          <w:rFonts w:ascii="ＭＳ Ｐ明朝" w:hAnsi="ＭＳ Ｐ明朝"/>
          <w:sz w:val="20"/>
          <w:szCs w:val="20"/>
          <w:lang w:val="en-GB" w:eastAsia="ja-JP"/>
        </w:rPr>
      </w:pPr>
    </w:p>
    <w:p w14:paraId="3EE5FC86" w14:textId="508DB4CC" w:rsidR="005D28FD" w:rsidRPr="00E77F05" w:rsidRDefault="005D28FD" w:rsidP="00594E75">
      <w:pPr>
        <w:spacing w:afterLines="50" w:after="200" w:line="240" w:lineRule="auto"/>
        <w:rPr>
          <w:rFonts w:ascii="ＭＳ Ｐ明朝" w:hAnsi="ＭＳ Ｐ明朝"/>
          <w:sz w:val="20"/>
          <w:szCs w:val="20"/>
          <w:lang w:eastAsia="ja-JP"/>
        </w:rPr>
      </w:pPr>
    </w:p>
    <w:sectPr w:rsidR="005D28FD" w:rsidRPr="00E77F05" w:rsidSect="00594E75">
      <w:pgSz w:w="11906" w:h="16838" w:code="9"/>
      <w:pgMar w:top="1418" w:right="1418" w:bottom="1418" w:left="1134" w:header="851" w:footer="992" w:gutter="0"/>
      <w:cols w:space="425"/>
      <w:docGrid w:type="linesAndChars" w:linePitch="40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CAB79" w14:textId="77777777" w:rsidR="009A08C0" w:rsidRDefault="009A08C0" w:rsidP="00E14F70">
      <w:pPr>
        <w:spacing w:after="0" w:line="240" w:lineRule="auto"/>
      </w:pPr>
      <w:r>
        <w:separator/>
      </w:r>
    </w:p>
  </w:endnote>
  <w:endnote w:type="continuationSeparator" w:id="0">
    <w:p w14:paraId="3260FA0D" w14:textId="77777777" w:rsidR="009A08C0" w:rsidRDefault="009A08C0" w:rsidP="00E1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36400" w14:textId="77777777" w:rsidR="009A08C0" w:rsidRDefault="009A08C0" w:rsidP="00E14F70">
      <w:pPr>
        <w:spacing w:after="0" w:line="240" w:lineRule="auto"/>
      </w:pPr>
      <w:r>
        <w:separator/>
      </w:r>
    </w:p>
  </w:footnote>
  <w:footnote w:type="continuationSeparator" w:id="0">
    <w:p w14:paraId="6F96ECA9" w14:textId="77777777" w:rsidR="009A08C0" w:rsidRDefault="009A08C0" w:rsidP="00E14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8C5"/>
    <w:multiLevelType w:val="multilevel"/>
    <w:tmpl w:val="4BE8981A"/>
    <w:styleLink w:val="ListParagraph0"/>
    <w:lvl w:ilvl="0">
      <w:start w:val="1"/>
      <w:numFmt w:val="none"/>
      <w:pStyle w:val="a"/>
      <w:suff w:val="nothing"/>
      <w:lvlText w:val=""/>
      <w:lvlJc w:val="left"/>
      <w:pPr>
        <w:ind w:left="348" w:firstLine="0"/>
      </w:pPr>
      <w:rPr>
        <w:rFonts w:asciiTheme="minorHAnsi" w:hAnsiTheme="minorHAnsi" w:hint="default"/>
        <w:color w:val="auto"/>
      </w:rPr>
    </w:lvl>
    <w:lvl w:ilvl="1">
      <w:start w:val="1"/>
      <w:numFmt w:val="none"/>
      <w:pStyle w:val="ListParagraph2"/>
      <w:suff w:val="nothing"/>
      <w:lvlText w:val=""/>
      <w:lvlJc w:val="left"/>
      <w:pPr>
        <w:ind w:left="773" w:firstLine="0"/>
      </w:pPr>
      <w:rPr>
        <w:rFonts w:asciiTheme="minorHAnsi" w:hAnsiTheme="minorHAnsi" w:hint="default"/>
        <w:color w:val="auto"/>
      </w:rPr>
    </w:lvl>
    <w:lvl w:ilvl="2">
      <w:start w:val="1"/>
      <w:numFmt w:val="none"/>
      <w:pStyle w:val="ListParagraph3"/>
      <w:suff w:val="nothing"/>
      <w:lvlText w:val=""/>
      <w:lvlJc w:val="left"/>
      <w:pPr>
        <w:ind w:left="1198" w:firstLine="0"/>
      </w:pPr>
      <w:rPr>
        <w:rFonts w:asciiTheme="minorHAnsi" w:hAnsiTheme="minorHAnsi" w:hint="default"/>
        <w:color w:val="auto"/>
      </w:rPr>
    </w:lvl>
    <w:lvl w:ilvl="3">
      <w:start w:val="1"/>
      <w:numFmt w:val="none"/>
      <w:pStyle w:val="ListParagraph4"/>
      <w:suff w:val="nothing"/>
      <w:lvlText w:val=""/>
      <w:lvlJc w:val="left"/>
      <w:pPr>
        <w:ind w:left="1623" w:firstLine="0"/>
      </w:pPr>
      <w:rPr>
        <w:rFonts w:asciiTheme="minorHAnsi" w:hAnsiTheme="minorHAnsi" w:hint="default"/>
        <w:color w:val="auto"/>
      </w:rPr>
    </w:lvl>
    <w:lvl w:ilvl="4">
      <w:start w:val="1"/>
      <w:numFmt w:val="none"/>
      <w:pStyle w:val="ListParagraph5"/>
      <w:suff w:val="nothing"/>
      <w:lvlText w:val=""/>
      <w:lvlJc w:val="left"/>
      <w:pPr>
        <w:ind w:left="2048" w:firstLine="0"/>
      </w:pPr>
      <w:rPr>
        <w:rFonts w:asciiTheme="minorHAnsi" w:hAnsiTheme="minorHAnsi" w:hint="default"/>
        <w:color w:val="auto"/>
      </w:rPr>
    </w:lvl>
    <w:lvl w:ilvl="5">
      <w:start w:val="1"/>
      <w:numFmt w:val="none"/>
      <w:pStyle w:val="ListParagraph6"/>
      <w:suff w:val="nothing"/>
      <w:lvlText w:val=""/>
      <w:lvlJc w:val="left"/>
      <w:pPr>
        <w:ind w:left="2473" w:firstLine="0"/>
      </w:pPr>
      <w:rPr>
        <w:rFonts w:asciiTheme="minorHAnsi" w:hAnsiTheme="minorHAnsi" w:hint="default"/>
        <w:color w:val="auto"/>
      </w:rPr>
    </w:lvl>
    <w:lvl w:ilvl="6">
      <w:start w:val="1"/>
      <w:numFmt w:val="none"/>
      <w:suff w:val="nothing"/>
      <w:lvlText w:val=""/>
      <w:lvlJc w:val="left"/>
      <w:pPr>
        <w:ind w:left="2898" w:firstLine="0"/>
      </w:pPr>
      <w:rPr>
        <w:rFonts w:hint="default"/>
        <w:color w:val="000000"/>
      </w:rPr>
    </w:lvl>
    <w:lvl w:ilvl="7">
      <w:start w:val="1"/>
      <w:numFmt w:val="none"/>
      <w:suff w:val="nothing"/>
      <w:lvlText w:val=""/>
      <w:lvlJc w:val="left"/>
      <w:pPr>
        <w:ind w:left="3323" w:firstLine="0"/>
      </w:pPr>
      <w:rPr>
        <w:rFonts w:hint="default"/>
      </w:rPr>
    </w:lvl>
    <w:lvl w:ilvl="8">
      <w:numFmt w:val="none"/>
      <w:lvlText w:val=""/>
      <w:lvlJc w:val="left"/>
      <w:pPr>
        <w:tabs>
          <w:tab w:val="num" w:pos="3748"/>
        </w:tabs>
        <w:ind w:left="3748" w:firstLine="0"/>
      </w:pPr>
      <w:rPr>
        <w:rFonts w:hint="default"/>
      </w:rPr>
    </w:lvl>
  </w:abstractNum>
  <w:abstractNum w:abstractNumId="1" w15:restartNumberingAfterBreak="0">
    <w:nsid w:val="02A06668"/>
    <w:multiLevelType w:val="hybridMultilevel"/>
    <w:tmpl w:val="E0D00F66"/>
    <w:lvl w:ilvl="0" w:tplc="0C090001">
      <w:start w:val="1"/>
      <w:numFmt w:val="bullet"/>
      <w:lvlText w:val=""/>
      <w:lvlJc w:val="left"/>
      <w:pPr>
        <w:ind w:left="880" w:hanging="440"/>
      </w:pPr>
      <w:rPr>
        <w:rFonts w:ascii="Symbol" w:hAnsi="Symbol"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07284AE9"/>
    <w:multiLevelType w:val="multilevel"/>
    <w:tmpl w:val="0B96E482"/>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sz w:val="18"/>
      </w:rPr>
    </w:lvl>
    <w:lvl w:ilvl="1">
      <w:start w:val="1"/>
      <w:numFmt w:val="lowerRoman"/>
      <w:pStyle w:val="ListAlpha2"/>
      <w:lvlText w:val="%2."/>
      <w:lvlJc w:val="left"/>
      <w:pPr>
        <w:tabs>
          <w:tab w:val="num" w:pos="850"/>
        </w:tabs>
        <w:ind w:left="850" w:hanging="425"/>
      </w:pPr>
      <w:rPr>
        <w:rFonts w:asciiTheme="minorHAnsi" w:hAnsiTheme="minorHAnsi" w:hint="default"/>
        <w:color w:val="auto"/>
        <w:sz w:val="18"/>
      </w:rPr>
    </w:lvl>
    <w:lvl w:ilvl="2">
      <w:start w:val="1"/>
      <w:numFmt w:val="decimal"/>
      <w:pStyle w:val="ListAlpha3"/>
      <w:lvlText w:val="%3."/>
      <w:lvlJc w:val="left"/>
      <w:pPr>
        <w:tabs>
          <w:tab w:val="num" w:pos="1275"/>
        </w:tabs>
        <w:ind w:left="1275" w:hanging="425"/>
      </w:pPr>
      <w:rPr>
        <w:rFonts w:asciiTheme="minorHAnsi" w:hAnsiTheme="minorHAnsi" w:hint="default"/>
        <w:color w:val="auto"/>
        <w:sz w:val="18"/>
      </w:rPr>
    </w:lvl>
    <w:lvl w:ilvl="3">
      <w:start w:val="1"/>
      <w:numFmt w:val="upperLetter"/>
      <w:pStyle w:val="ListAlpha4"/>
      <w:lvlText w:val="%4."/>
      <w:lvlJc w:val="left"/>
      <w:pPr>
        <w:tabs>
          <w:tab w:val="num" w:pos="1700"/>
        </w:tabs>
        <w:ind w:left="1700" w:hanging="425"/>
      </w:pPr>
      <w:rPr>
        <w:rFonts w:asciiTheme="minorHAnsi" w:hAnsiTheme="minorHAnsi" w:hint="default"/>
        <w:color w:val="auto"/>
        <w:sz w:val="18"/>
      </w:rPr>
    </w:lvl>
    <w:lvl w:ilvl="4">
      <w:start w:val="1"/>
      <w:numFmt w:val="upperRoman"/>
      <w:pStyle w:val="ListAlpha5"/>
      <w:lvlText w:val="%5."/>
      <w:lvlJc w:val="left"/>
      <w:pPr>
        <w:tabs>
          <w:tab w:val="num" w:pos="2125"/>
        </w:tabs>
        <w:ind w:left="2125" w:hanging="425"/>
      </w:pPr>
      <w:rPr>
        <w:rFonts w:asciiTheme="minorHAnsi" w:hAnsiTheme="minorHAnsi" w:hint="default"/>
        <w:color w:val="auto"/>
        <w:sz w:val="18"/>
      </w:rPr>
    </w:lvl>
    <w:lvl w:ilvl="5">
      <w:start w:val="1"/>
      <w:numFmt w:val="decimal"/>
      <w:pStyle w:val="ListAlpha6"/>
      <w:lvlText w:val="%6."/>
      <w:lvlJc w:val="left"/>
      <w:pPr>
        <w:tabs>
          <w:tab w:val="num" w:pos="2550"/>
        </w:tabs>
        <w:ind w:left="2550" w:hanging="425"/>
      </w:pPr>
      <w:rPr>
        <w:rFonts w:asciiTheme="minorHAnsi" w:hAnsiTheme="minorHAnsi" w:hint="default"/>
        <w:color w:val="auto"/>
        <w:sz w:val="18"/>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 w15:restartNumberingAfterBreak="0">
    <w:nsid w:val="0C972FAA"/>
    <w:multiLevelType w:val="multilevel"/>
    <w:tmpl w:val="736ECFBA"/>
    <w:numStyleLink w:val="ListTableNumber"/>
  </w:abstractNum>
  <w:abstractNum w:abstractNumId="4" w15:restartNumberingAfterBreak="0">
    <w:nsid w:val="0CCD4DAA"/>
    <w:multiLevelType w:val="multilevel"/>
    <w:tmpl w:val="F78A1DCA"/>
    <w:styleLink w:val="ListTableBullet"/>
    <w:lvl w:ilvl="0">
      <w:start w:val="1"/>
      <w:numFmt w:val="bullet"/>
      <w:lvlText w:val=""/>
      <w:lvlJc w:val="left"/>
      <w:pPr>
        <w:tabs>
          <w:tab w:val="num" w:pos="397"/>
        </w:tabs>
        <w:ind w:left="397" w:hanging="284"/>
      </w:pPr>
      <w:rPr>
        <w:rFonts w:ascii="Symbol" w:hAnsi="Symbol" w:hint="default"/>
        <w:color w:val="auto"/>
        <w:sz w:val="18"/>
      </w:rPr>
    </w:lvl>
    <w:lvl w:ilvl="1">
      <w:start w:val="1"/>
      <w:numFmt w:val="bullet"/>
      <w:pStyle w:val="TableBullet"/>
      <w:lvlText w:val="–"/>
      <w:lvlJc w:val="left"/>
      <w:pPr>
        <w:tabs>
          <w:tab w:val="num" w:pos="680"/>
        </w:tabs>
        <w:ind w:left="680" w:hanging="283"/>
      </w:pPr>
      <w:rPr>
        <w:rFonts w:ascii="Arial" w:hAnsi="Arial"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0FB97078"/>
    <w:multiLevelType w:val="multilevel"/>
    <w:tmpl w:val="8D5C9A34"/>
    <w:styleLink w:val="ListChapter"/>
    <w:lvl w:ilvl="0">
      <w:start w:val="1"/>
      <w:numFmt w:val="cardinalText"/>
      <w:suff w:val="nothing"/>
      <w:lvlText w:val="Chapter %1"/>
      <w:lvlJc w:val="left"/>
      <w:pPr>
        <w:ind w:left="0" w:firstLine="0"/>
      </w:pPr>
      <w:rPr>
        <w:rFonts w:hint="default"/>
      </w:rPr>
    </w:lvl>
    <w:lvl w:ilvl="1">
      <w:start w:val="1"/>
      <w:numFmt w:val="none"/>
      <w:suff w:val="nothing"/>
      <w:lvlText w:val=""/>
      <w:lvlJc w:val="left"/>
      <w:pPr>
        <w:ind w:left="0" w:hanging="32766"/>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741D40"/>
    <w:multiLevelType w:val="multilevel"/>
    <w:tmpl w:val="BE1CBCF8"/>
    <w:styleLink w:val="ListNumber"/>
    <w:lvl w:ilvl="0">
      <w:start w:val="1"/>
      <w:numFmt w:val="decimal"/>
      <w:pStyle w:val="a0"/>
      <w:lvlText w:val="%1."/>
      <w:lvlJc w:val="left"/>
      <w:pPr>
        <w:tabs>
          <w:tab w:val="num" w:pos="425"/>
        </w:tabs>
        <w:ind w:left="425" w:hanging="425"/>
      </w:pPr>
      <w:rPr>
        <w:rFonts w:asciiTheme="minorHAnsi" w:hAnsiTheme="minorHAnsi"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2"/>
      <w:lvlText w:val="%2."/>
      <w:lvlJc w:val="left"/>
      <w:pPr>
        <w:tabs>
          <w:tab w:val="num" w:pos="850"/>
        </w:tabs>
        <w:ind w:left="850" w:hanging="425"/>
      </w:pPr>
      <w:rPr>
        <w:rFonts w:asciiTheme="minorHAnsi" w:hAnsiTheme="minorHAnsi" w:hint="default"/>
        <w:b w:val="0"/>
        <w:i w:val="0"/>
        <w:color w:val="auto"/>
        <w:sz w:val="18"/>
      </w:rPr>
    </w:lvl>
    <w:lvl w:ilvl="2">
      <w:start w:val="1"/>
      <w:numFmt w:val="lowerRoman"/>
      <w:pStyle w:val="3"/>
      <w:lvlText w:val="%3."/>
      <w:lvlJc w:val="left"/>
      <w:pPr>
        <w:tabs>
          <w:tab w:val="num" w:pos="1275"/>
        </w:tabs>
        <w:ind w:left="1275" w:hanging="425"/>
      </w:pPr>
      <w:rPr>
        <w:rFonts w:asciiTheme="minorHAnsi" w:hAnsiTheme="minorHAnsi" w:hint="default"/>
        <w:b w:val="0"/>
        <w:i w:val="0"/>
        <w:color w:val="auto"/>
        <w:sz w:val="18"/>
      </w:rPr>
    </w:lvl>
    <w:lvl w:ilvl="3">
      <w:start w:val="1"/>
      <w:numFmt w:val="upperLetter"/>
      <w:pStyle w:val="4"/>
      <w:lvlText w:val="%4."/>
      <w:lvlJc w:val="left"/>
      <w:pPr>
        <w:tabs>
          <w:tab w:val="num" w:pos="1700"/>
        </w:tabs>
        <w:ind w:left="1700" w:hanging="425"/>
      </w:pPr>
      <w:rPr>
        <w:rFonts w:asciiTheme="minorHAnsi" w:hAnsiTheme="minorHAnsi" w:hint="default"/>
        <w:b w:val="0"/>
        <w:i w:val="0"/>
        <w:color w:val="auto"/>
        <w:sz w:val="18"/>
      </w:rPr>
    </w:lvl>
    <w:lvl w:ilvl="4">
      <w:start w:val="1"/>
      <w:numFmt w:val="upperRoman"/>
      <w:pStyle w:val="5"/>
      <w:lvlText w:val="%5."/>
      <w:lvlJc w:val="left"/>
      <w:pPr>
        <w:tabs>
          <w:tab w:val="num" w:pos="2125"/>
        </w:tabs>
        <w:ind w:left="2125" w:hanging="425"/>
      </w:pPr>
      <w:rPr>
        <w:rFonts w:asciiTheme="minorHAnsi" w:hAnsiTheme="minorHAnsi" w:hint="default"/>
        <w:b w:val="0"/>
        <w:i w:val="0"/>
        <w:color w:val="auto"/>
        <w:sz w:val="18"/>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18"/>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29A97EDF"/>
    <w:multiLevelType w:val="hybridMultilevel"/>
    <w:tmpl w:val="038C690E"/>
    <w:lvl w:ilvl="0" w:tplc="0C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C0278A6"/>
    <w:multiLevelType w:val="hybridMultilevel"/>
    <w:tmpl w:val="8454FB36"/>
    <w:lvl w:ilvl="0" w:tplc="0C090001">
      <w:start w:val="1"/>
      <w:numFmt w:val="bullet"/>
      <w:lvlText w:val=""/>
      <w:lvlJc w:val="left"/>
      <w:pPr>
        <w:ind w:left="880" w:hanging="440"/>
      </w:pPr>
      <w:rPr>
        <w:rFonts w:ascii="Symbol" w:hAnsi="Symbol"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2D9D2D39"/>
    <w:multiLevelType w:val="multilevel"/>
    <w:tmpl w:val="8456735C"/>
    <w:numStyleLink w:val="Bulletcustom"/>
  </w:abstractNum>
  <w:abstractNum w:abstractNumId="10" w15:restartNumberingAfterBreak="0">
    <w:nsid w:val="2DB227E6"/>
    <w:multiLevelType w:val="hybridMultilevel"/>
    <w:tmpl w:val="71CAD4A0"/>
    <w:lvl w:ilvl="0" w:tplc="97005E9A">
      <w:numFmt w:val="none"/>
      <w:lvlText w:val=""/>
      <w:lvlJc w:val="left"/>
      <w:pPr>
        <w:tabs>
          <w:tab w:val="num" w:pos="360"/>
        </w:tabs>
      </w:pPr>
    </w:lvl>
    <w:lvl w:ilvl="1" w:tplc="94BA46E8">
      <w:start w:val="1"/>
      <w:numFmt w:val="lowerLetter"/>
      <w:pStyle w:val="20"/>
      <w:lvlText w:val="%2."/>
      <w:lvlJc w:val="left"/>
      <w:pPr>
        <w:ind w:left="1440" w:hanging="360"/>
      </w:pPr>
    </w:lvl>
    <w:lvl w:ilvl="2" w:tplc="8CAE6CA4">
      <w:start w:val="1"/>
      <w:numFmt w:val="lowerRoman"/>
      <w:pStyle w:val="30"/>
      <w:lvlText w:val="%3."/>
      <w:lvlJc w:val="right"/>
      <w:pPr>
        <w:ind w:left="2160" w:hanging="180"/>
      </w:pPr>
    </w:lvl>
    <w:lvl w:ilvl="3" w:tplc="383CD00A">
      <w:start w:val="1"/>
      <w:numFmt w:val="decimal"/>
      <w:pStyle w:val="BodyText4"/>
      <w:lvlText w:val="%4."/>
      <w:lvlJc w:val="left"/>
      <w:pPr>
        <w:ind w:left="2880" w:hanging="360"/>
      </w:pPr>
    </w:lvl>
    <w:lvl w:ilvl="4" w:tplc="BBD0B658">
      <w:start w:val="1"/>
      <w:numFmt w:val="lowerLetter"/>
      <w:pStyle w:val="BodyText5"/>
      <w:lvlText w:val="%5."/>
      <w:lvlJc w:val="left"/>
      <w:pPr>
        <w:ind w:left="3600" w:hanging="360"/>
      </w:pPr>
    </w:lvl>
    <w:lvl w:ilvl="5" w:tplc="BE28BF1E">
      <w:start w:val="1"/>
      <w:numFmt w:val="lowerRoman"/>
      <w:pStyle w:val="BodyText6"/>
      <w:lvlText w:val="%6."/>
      <w:lvlJc w:val="right"/>
      <w:pPr>
        <w:ind w:left="4320" w:hanging="180"/>
      </w:pPr>
    </w:lvl>
    <w:lvl w:ilvl="6" w:tplc="9CE46896">
      <w:start w:val="1"/>
      <w:numFmt w:val="decimal"/>
      <w:lvlText w:val="%7."/>
      <w:lvlJc w:val="left"/>
      <w:pPr>
        <w:ind w:left="5040" w:hanging="360"/>
      </w:pPr>
    </w:lvl>
    <w:lvl w:ilvl="7" w:tplc="C4F8F570">
      <w:start w:val="1"/>
      <w:numFmt w:val="lowerLetter"/>
      <w:lvlText w:val="%8."/>
      <w:lvlJc w:val="left"/>
      <w:pPr>
        <w:ind w:left="5760" w:hanging="360"/>
      </w:pPr>
    </w:lvl>
    <w:lvl w:ilvl="8" w:tplc="7090CFBC">
      <w:start w:val="1"/>
      <w:numFmt w:val="lowerRoman"/>
      <w:lvlText w:val="%9."/>
      <w:lvlJc w:val="right"/>
      <w:pPr>
        <w:ind w:left="6480" w:hanging="180"/>
      </w:pPr>
    </w:lvl>
  </w:abstractNum>
  <w:abstractNum w:abstractNumId="11" w15:restartNumberingAfterBreak="0">
    <w:nsid w:val="353912ED"/>
    <w:multiLevelType w:val="multilevel"/>
    <w:tmpl w:val="BE1CCB26"/>
    <w:styleLink w:val="ListBullet"/>
    <w:lvl w:ilvl="0">
      <w:start w:val="1"/>
      <w:numFmt w:val="bullet"/>
      <w:lvlText w:val=""/>
      <w:lvlJc w:val="left"/>
      <w:pPr>
        <w:tabs>
          <w:tab w:val="num" w:pos="425"/>
        </w:tabs>
        <w:ind w:left="425" w:hanging="425"/>
      </w:pPr>
      <w:rPr>
        <w:rFonts w:ascii="Symbol" w:hAnsi="Symbol" w:hint="default"/>
        <w:b w:val="0"/>
        <w:i w:val="0"/>
        <w:color w:val="auto"/>
        <w:sz w:val="18"/>
        <w:szCs w:val="20"/>
      </w:rPr>
    </w:lvl>
    <w:lvl w:ilvl="1">
      <w:start w:val="1"/>
      <w:numFmt w:val="bullet"/>
      <w:lvlText w:val="–"/>
      <w:lvlJc w:val="left"/>
      <w:pPr>
        <w:tabs>
          <w:tab w:val="num" w:pos="850"/>
        </w:tabs>
        <w:ind w:left="850" w:hanging="425"/>
      </w:pPr>
      <w:rPr>
        <w:rFonts w:asciiTheme="minorHAnsi" w:hAnsiTheme="minorHAnsi" w:hint="default"/>
        <w:caps w:val="0"/>
        <w:strike w:val="0"/>
        <w:dstrike w:val="0"/>
        <w:vanish w:val="0"/>
        <w:color w:val="auto"/>
        <w:sz w:val="18"/>
        <w:u w:val="none"/>
        <w:vertAlign w:val="baseline"/>
      </w:rPr>
    </w:lvl>
    <w:lvl w:ilvl="2">
      <w:start w:val="1"/>
      <w:numFmt w:val="bullet"/>
      <w:lvlText w:val=""/>
      <w:lvlJc w:val="left"/>
      <w:pPr>
        <w:tabs>
          <w:tab w:val="num" w:pos="1275"/>
        </w:tabs>
        <w:ind w:left="1275" w:hanging="425"/>
      </w:pPr>
      <w:rPr>
        <w:rFonts w:ascii="Symbol" w:hAnsi="Symbol" w:hint="default"/>
        <w:color w:val="auto"/>
        <w:sz w:val="18"/>
      </w:rPr>
    </w:lvl>
    <w:lvl w:ilvl="3">
      <w:start w:val="1"/>
      <w:numFmt w:val="bullet"/>
      <w:lvlText w:val="–"/>
      <w:lvlJc w:val="left"/>
      <w:pPr>
        <w:tabs>
          <w:tab w:val="num" w:pos="1700"/>
        </w:tabs>
        <w:ind w:left="1700" w:hanging="425"/>
      </w:pPr>
      <w:rPr>
        <w:rFonts w:asciiTheme="minorHAnsi" w:hAnsiTheme="minorHAnsi" w:hint="default"/>
        <w:caps w:val="0"/>
        <w:strike w:val="0"/>
        <w:dstrike w:val="0"/>
        <w:vanish w:val="0"/>
        <w:color w:val="auto"/>
        <w:sz w:val="18"/>
        <w:u w:val="none"/>
        <w:vertAlign w:val="baseline"/>
      </w:rPr>
    </w:lvl>
    <w:lvl w:ilvl="4">
      <w:start w:val="1"/>
      <w:numFmt w:val="bullet"/>
      <w:lvlText w:val=""/>
      <w:lvlJc w:val="left"/>
      <w:pPr>
        <w:tabs>
          <w:tab w:val="num" w:pos="2125"/>
        </w:tabs>
        <w:ind w:left="2125" w:hanging="425"/>
      </w:pPr>
      <w:rPr>
        <w:rFonts w:ascii="Symbol" w:hAnsi="Symbol" w:hint="default"/>
        <w:color w:val="auto"/>
        <w:sz w:val="18"/>
      </w:rPr>
    </w:lvl>
    <w:lvl w:ilvl="5">
      <w:start w:val="1"/>
      <w:numFmt w:val="bullet"/>
      <w:lvlText w:val="–"/>
      <w:lvlJc w:val="left"/>
      <w:pPr>
        <w:tabs>
          <w:tab w:val="num" w:pos="2550"/>
        </w:tabs>
        <w:ind w:left="2550" w:hanging="425"/>
      </w:pPr>
      <w:rPr>
        <w:rFonts w:asciiTheme="minorHAnsi" w:hAnsiTheme="minorHAnsi" w:cs="Times New Roman" w:hint="default"/>
        <w:caps w:val="0"/>
        <w:strike w:val="0"/>
        <w:dstrike w:val="0"/>
        <w:vanish w:val="0"/>
        <w:color w:val="auto"/>
        <w:sz w:val="18"/>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2" w15:restartNumberingAfterBreak="0">
    <w:nsid w:val="376F6C27"/>
    <w:multiLevelType w:val="multilevel"/>
    <w:tmpl w:val="71322EF0"/>
    <w:styleLink w:val="CurrentList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6F45D8"/>
    <w:multiLevelType w:val="multilevel"/>
    <w:tmpl w:val="A1B64BF0"/>
    <w:styleLink w:val="CurrentList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071FAE"/>
    <w:multiLevelType w:val="multilevel"/>
    <w:tmpl w:val="9D625AA6"/>
    <w:styleLink w:val="ListNumberedHeadings"/>
    <w:lvl w:ilvl="0">
      <w:start w:val="1"/>
      <w:numFmt w:val="decimal"/>
      <w:pStyle w:val="NbrHeading1"/>
      <w:lvlText w:val="%1"/>
      <w:lvlJc w:val="left"/>
      <w:pPr>
        <w:tabs>
          <w:tab w:val="num" w:pos="1134"/>
        </w:tabs>
        <w:ind w:left="1134" w:hanging="1134"/>
      </w:pPr>
      <w:rPr>
        <w:rFonts w:asciiTheme="majorHAnsi" w:hAnsiTheme="majorHAnsi" w:hint="default"/>
        <w:color w:val="156082" w:themeColor="accent1"/>
      </w:rPr>
    </w:lvl>
    <w:lvl w:ilvl="1">
      <w:start w:val="1"/>
      <w:numFmt w:val="decimal"/>
      <w:pStyle w:val="NbrHeading2"/>
      <w:lvlText w:val="%1.%2"/>
      <w:lvlJc w:val="left"/>
      <w:pPr>
        <w:tabs>
          <w:tab w:val="num" w:pos="1134"/>
        </w:tabs>
        <w:ind w:left="1134" w:hanging="1134"/>
      </w:pPr>
      <w:rPr>
        <w:rFonts w:asciiTheme="majorHAnsi" w:hAnsiTheme="majorHAnsi" w:hint="default"/>
        <w:color w:val="156082" w:themeColor="accent1"/>
      </w:rPr>
    </w:lvl>
    <w:lvl w:ilvl="2">
      <w:start w:val="1"/>
      <w:numFmt w:val="decimal"/>
      <w:lvlText w:val="%1.%2.%3"/>
      <w:lvlJc w:val="left"/>
      <w:pPr>
        <w:tabs>
          <w:tab w:val="num" w:pos="1276"/>
        </w:tabs>
        <w:ind w:left="1276" w:hanging="1134"/>
      </w:pPr>
      <w:rPr>
        <w:rFonts w:asciiTheme="majorHAnsi" w:hAnsiTheme="majorHAnsi" w:hint="default"/>
        <w:color w:val="auto"/>
      </w:rPr>
    </w:lvl>
    <w:lvl w:ilvl="3">
      <w:start w:val="1"/>
      <w:numFmt w:val="decimal"/>
      <w:pStyle w:val="NbrHeading4"/>
      <w:lvlText w:val="%1.%2.%3.%4"/>
      <w:lvlJc w:val="left"/>
      <w:pPr>
        <w:tabs>
          <w:tab w:val="num" w:pos="1134"/>
        </w:tabs>
        <w:ind w:left="1134" w:hanging="1134"/>
      </w:pPr>
      <w:rPr>
        <w:rFonts w:asciiTheme="majorHAnsi" w:hAnsiTheme="majorHAnsi" w:hint="default"/>
        <w:color w:val="auto"/>
        <w:sz w:val="18"/>
      </w:rPr>
    </w:lvl>
    <w:lvl w:ilvl="4">
      <w:start w:val="1"/>
      <w:numFmt w:val="decimal"/>
      <w:pStyle w:val="Nbr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5" w15:restartNumberingAfterBreak="0">
    <w:nsid w:val="46916A1B"/>
    <w:multiLevelType w:val="multilevel"/>
    <w:tmpl w:val="E174E3D0"/>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7C6AE4"/>
    <w:multiLevelType w:val="hybridMultilevel"/>
    <w:tmpl w:val="FFD65704"/>
    <w:lvl w:ilvl="0" w:tplc="0C090001">
      <w:start w:val="1"/>
      <w:numFmt w:val="bullet"/>
      <w:lvlText w:val=""/>
      <w:lvlJc w:val="left"/>
      <w:pPr>
        <w:ind w:left="664" w:hanging="440"/>
      </w:pPr>
      <w:rPr>
        <w:rFonts w:ascii="Symbol" w:hAnsi="Symbol" w:hint="default"/>
      </w:rPr>
    </w:lvl>
    <w:lvl w:ilvl="1" w:tplc="0409000B" w:tentative="1">
      <w:start w:val="1"/>
      <w:numFmt w:val="bullet"/>
      <w:lvlText w:val=""/>
      <w:lvlJc w:val="left"/>
      <w:pPr>
        <w:ind w:left="1104" w:hanging="440"/>
      </w:pPr>
      <w:rPr>
        <w:rFonts w:ascii="Wingdings" w:hAnsi="Wingdings" w:hint="default"/>
      </w:rPr>
    </w:lvl>
    <w:lvl w:ilvl="2" w:tplc="0409000D" w:tentative="1">
      <w:start w:val="1"/>
      <w:numFmt w:val="bullet"/>
      <w:lvlText w:val=""/>
      <w:lvlJc w:val="left"/>
      <w:pPr>
        <w:ind w:left="1544" w:hanging="440"/>
      </w:pPr>
      <w:rPr>
        <w:rFonts w:ascii="Wingdings" w:hAnsi="Wingdings" w:hint="default"/>
      </w:rPr>
    </w:lvl>
    <w:lvl w:ilvl="3" w:tplc="04090001" w:tentative="1">
      <w:start w:val="1"/>
      <w:numFmt w:val="bullet"/>
      <w:lvlText w:val=""/>
      <w:lvlJc w:val="left"/>
      <w:pPr>
        <w:ind w:left="1984" w:hanging="440"/>
      </w:pPr>
      <w:rPr>
        <w:rFonts w:ascii="Wingdings" w:hAnsi="Wingdings" w:hint="default"/>
      </w:rPr>
    </w:lvl>
    <w:lvl w:ilvl="4" w:tplc="0409000B" w:tentative="1">
      <w:start w:val="1"/>
      <w:numFmt w:val="bullet"/>
      <w:lvlText w:val=""/>
      <w:lvlJc w:val="left"/>
      <w:pPr>
        <w:ind w:left="2424" w:hanging="440"/>
      </w:pPr>
      <w:rPr>
        <w:rFonts w:ascii="Wingdings" w:hAnsi="Wingdings" w:hint="default"/>
      </w:rPr>
    </w:lvl>
    <w:lvl w:ilvl="5" w:tplc="0409000D" w:tentative="1">
      <w:start w:val="1"/>
      <w:numFmt w:val="bullet"/>
      <w:lvlText w:val=""/>
      <w:lvlJc w:val="left"/>
      <w:pPr>
        <w:ind w:left="2864" w:hanging="440"/>
      </w:pPr>
      <w:rPr>
        <w:rFonts w:ascii="Wingdings" w:hAnsi="Wingdings" w:hint="default"/>
      </w:rPr>
    </w:lvl>
    <w:lvl w:ilvl="6" w:tplc="04090001" w:tentative="1">
      <w:start w:val="1"/>
      <w:numFmt w:val="bullet"/>
      <w:lvlText w:val=""/>
      <w:lvlJc w:val="left"/>
      <w:pPr>
        <w:ind w:left="3304" w:hanging="440"/>
      </w:pPr>
      <w:rPr>
        <w:rFonts w:ascii="Wingdings" w:hAnsi="Wingdings" w:hint="default"/>
      </w:rPr>
    </w:lvl>
    <w:lvl w:ilvl="7" w:tplc="0409000B" w:tentative="1">
      <w:start w:val="1"/>
      <w:numFmt w:val="bullet"/>
      <w:lvlText w:val=""/>
      <w:lvlJc w:val="left"/>
      <w:pPr>
        <w:ind w:left="3744" w:hanging="440"/>
      </w:pPr>
      <w:rPr>
        <w:rFonts w:ascii="Wingdings" w:hAnsi="Wingdings" w:hint="default"/>
      </w:rPr>
    </w:lvl>
    <w:lvl w:ilvl="8" w:tplc="0409000D" w:tentative="1">
      <w:start w:val="1"/>
      <w:numFmt w:val="bullet"/>
      <w:lvlText w:val=""/>
      <w:lvlJc w:val="left"/>
      <w:pPr>
        <w:ind w:left="4184" w:hanging="440"/>
      </w:pPr>
      <w:rPr>
        <w:rFonts w:ascii="Wingdings" w:hAnsi="Wingdings" w:hint="default"/>
      </w:rPr>
    </w:lvl>
  </w:abstractNum>
  <w:abstractNum w:abstractNumId="17" w15:restartNumberingAfterBreak="0">
    <w:nsid w:val="4A5E2BF5"/>
    <w:multiLevelType w:val="hybridMultilevel"/>
    <w:tmpl w:val="37D0A5A8"/>
    <w:lvl w:ilvl="0" w:tplc="0C090001">
      <w:start w:val="1"/>
      <w:numFmt w:val="bullet"/>
      <w:lvlText w:val=""/>
      <w:lvlJc w:val="left"/>
      <w:pPr>
        <w:ind w:left="880" w:hanging="440"/>
      </w:pPr>
      <w:rPr>
        <w:rFonts w:ascii="Symbol" w:hAnsi="Symbol"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8" w15:restartNumberingAfterBreak="0">
    <w:nsid w:val="54FA37F8"/>
    <w:multiLevelType w:val="hybridMultilevel"/>
    <w:tmpl w:val="E6329734"/>
    <w:lvl w:ilvl="0" w:tplc="0409000F">
      <w:start w:val="1"/>
      <w:numFmt w:val="decimal"/>
      <w:lvlText w:val="%1."/>
      <w:lvlJc w:val="left"/>
      <w:pPr>
        <w:ind w:left="664" w:hanging="440"/>
      </w:pPr>
    </w:lvl>
    <w:lvl w:ilvl="1" w:tplc="04090017" w:tentative="1">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abstractNum w:abstractNumId="19" w15:restartNumberingAfterBreak="0">
    <w:nsid w:val="5CD22C6A"/>
    <w:multiLevelType w:val="hybridMultilevel"/>
    <w:tmpl w:val="2EFC066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0" w15:restartNumberingAfterBreak="0">
    <w:nsid w:val="5CE2059C"/>
    <w:multiLevelType w:val="multilevel"/>
    <w:tmpl w:val="4BE8981A"/>
    <w:numStyleLink w:val="ListParagraph0"/>
  </w:abstractNum>
  <w:abstractNum w:abstractNumId="21" w15:restartNumberingAfterBreak="0">
    <w:nsid w:val="60AB5246"/>
    <w:multiLevelType w:val="multilevel"/>
    <w:tmpl w:val="8456735C"/>
    <w:styleLink w:val="Bulletcustom"/>
    <w:lvl w:ilvl="0">
      <w:start w:val="1"/>
      <w:numFmt w:val="bullet"/>
      <w:lvlText w:val=""/>
      <w:lvlJc w:val="left"/>
      <w:pPr>
        <w:ind w:left="360" w:hanging="360"/>
      </w:pPr>
      <w:rPr>
        <w:rFonts w:ascii="Symbol" w:hAnsi="Symbol" w:cs="Times New Roman" w:hint="default"/>
        <w:color w:val="auto"/>
      </w:rPr>
    </w:lvl>
    <w:lvl w:ilvl="1">
      <w:start w:val="1"/>
      <w:numFmt w:val="bullet"/>
      <w:pStyle w:val="a1"/>
      <w:lvlText w:val="¡"/>
      <w:lvlJc w:val="left"/>
      <w:pPr>
        <w:ind w:left="720" w:hanging="360"/>
      </w:pPr>
      <w:rPr>
        <w:rFonts w:ascii="Wingdings" w:hAnsi="Wingdings" w:cs="Times New Roman" w:hint="default"/>
        <w:color w:val="auto"/>
        <w:sz w:val="18"/>
      </w:rPr>
    </w:lvl>
    <w:lvl w:ilvl="2">
      <w:start w:val="1"/>
      <w:numFmt w:val="bullet"/>
      <w:pStyle w:val="31"/>
      <w:lvlText w:val="–"/>
      <w:lvlJc w:val="left"/>
      <w:pPr>
        <w:ind w:left="1080" w:hanging="360"/>
      </w:pPr>
      <w:rPr>
        <w:rFonts w:ascii="Times New Roman" w:hAnsi="Times New Roman" w:cs="Times New Roman" w:hint="default"/>
        <w:color w:val="auto"/>
      </w:rPr>
    </w:lvl>
    <w:lvl w:ilvl="3">
      <w:start w:val="1"/>
      <w:numFmt w:val="bullet"/>
      <w:lvlText w:val="¡"/>
      <w:lvlJc w:val="left"/>
      <w:pPr>
        <w:ind w:left="1440" w:hanging="360"/>
      </w:pPr>
      <w:rPr>
        <w:rFonts w:ascii="Wingdings" w:hAnsi="Wingdings"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4E317F"/>
    <w:multiLevelType w:val="hybridMultilevel"/>
    <w:tmpl w:val="41C20F94"/>
    <w:lvl w:ilvl="0" w:tplc="0C090001">
      <w:start w:val="1"/>
      <w:numFmt w:val="bullet"/>
      <w:lvlText w:val=""/>
      <w:lvlJc w:val="left"/>
      <w:pPr>
        <w:ind w:left="880" w:hanging="440"/>
      </w:pPr>
      <w:rPr>
        <w:rFonts w:ascii="Symbol" w:hAnsi="Symbol"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3" w15:restartNumberingAfterBreak="0">
    <w:nsid w:val="626E5373"/>
    <w:multiLevelType w:val="multilevel"/>
    <w:tmpl w:val="736ECFBA"/>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646D0893"/>
    <w:multiLevelType w:val="hybridMultilevel"/>
    <w:tmpl w:val="50427294"/>
    <w:lvl w:ilvl="0" w:tplc="0C090001">
      <w:start w:val="1"/>
      <w:numFmt w:val="bullet"/>
      <w:lvlText w:val=""/>
      <w:lvlJc w:val="left"/>
      <w:pPr>
        <w:ind w:left="664" w:hanging="440"/>
      </w:pPr>
      <w:rPr>
        <w:rFonts w:ascii="Symbol" w:hAnsi="Symbol" w:hint="default"/>
      </w:rPr>
    </w:lvl>
    <w:lvl w:ilvl="1" w:tplc="0409000B" w:tentative="1">
      <w:start w:val="1"/>
      <w:numFmt w:val="bullet"/>
      <w:lvlText w:val=""/>
      <w:lvlJc w:val="left"/>
      <w:pPr>
        <w:ind w:left="1104" w:hanging="440"/>
      </w:pPr>
      <w:rPr>
        <w:rFonts w:ascii="Wingdings" w:hAnsi="Wingdings" w:hint="default"/>
      </w:rPr>
    </w:lvl>
    <w:lvl w:ilvl="2" w:tplc="0409000D" w:tentative="1">
      <w:start w:val="1"/>
      <w:numFmt w:val="bullet"/>
      <w:lvlText w:val=""/>
      <w:lvlJc w:val="left"/>
      <w:pPr>
        <w:ind w:left="1544" w:hanging="440"/>
      </w:pPr>
      <w:rPr>
        <w:rFonts w:ascii="Wingdings" w:hAnsi="Wingdings" w:hint="default"/>
      </w:rPr>
    </w:lvl>
    <w:lvl w:ilvl="3" w:tplc="04090001" w:tentative="1">
      <w:start w:val="1"/>
      <w:numFmt w:val="bullet"/>
      <w:lvlText w:val=""/>
      <w:lvlJc w:val="left"/>
      <w:pPr>
        <w:ind w:left="1984" w:hanging="440"/>
      </w:pPr>
      <w:rPr>
        <w:rFonts w:ascii="Wingdings" w:hAnsi="Wingdings" w:hint="default"/>
      </w:rPr>
    </w:lvl>
    <w:lvl w:ilvl="4" w:tplc="0409000B" w:tentative="1">
      <w:start w:val="1"/>
      <w:numFmt w:val="bullet"/>
      <w:lvlText w:val=""/>
      <w:lvlJc w:val="left"/>
      <w:pPr>
        <w:ind w:left="2424" w:hanging="440"/>
      </w:pPr>
      <w:rPr>
        <w:rFonts w:ascii="Wingdings" w:hAnsi="Wingdings" w:hint="default"/>
      </w:rPr>
    </w:lvl>
    <w:lvl w:ilvl="5" w:tplc="0409000D" w:tentative="1">
      <w:start w:val="1"/>
      <w:numFmt w:val="bullet"/>
      <w:lvlText w:val=""/>
      <w:lvlJc w:val="left"/>
      <w:pPr>
        <w:ind w:left="2864" w:hanging="440"/>
      </w:pPr>
      <w:rPr>
        <w:rFonts w:ascii="Wingdings" w:hAnsi="Wingdings" w:hint="default"/>
      </w:rPr>
    </w:lvl>
    <w:lvl w:ilvl="6" w:tplc="04090001" w:tentative="1">
      <w:start w:val="1"/>
      <w:numFmt w:val="bullet"/>
      <w:lvlText w:val=""/>
      <w:lvlJc w:val="left"/>
      <w:pPr>
        <w:ind w:left="3304" w:hanging="440"/>
      </w:pPr>
      <w:rPr>
        <w:rFonts w:ascii="Wingdings" w:hAnsi="Wingdings" w:hint="default"/>
      </w:rPr>
    </w:lvl>
    <w:lvl w:ilvl="7" w:tplc="0409000B" w:tentative="1">
      <w:start w:val="1"/>
      <w:numFmt w:val="bullet"/>
      <w:lvlText w:val=""/>
      <w:lvlJc w:val="left"/>
      <w:pPr>
        <w:ind w:left="3744" w:hanging="440"/>
      </w:pPr>
      <w:rPr>
        <w:rFonts w:ascii="Wingdings" w:hAnsi="Wingdings" w:hint="default"/>
      </w:rPr>
    </w:lvl>
    <w:lvl w:ilvl="8" w:tplc="0409000D" w:tentative="1">
      <w:start w:val="1"/>
      <w:numFmt w:val="bullet"/>
      <w:lvlText w:val=""/>
      <w:lvlJc w:val="left"/>
      <w:pPr>
        <w:ind w:left="4184" w:hanging="440"/>
      </w:pPr>
      <w:rPr>
        <w:rFonts w:ascii="Wingdings" w:hAnsi="Wingdings" w:hint="default"/>
      </w:rPr>
    </w:lvl>
  </w:abstractNum>
  <w:abstractNum w:abstractNumId="25" w15:restartNumberingAfterBreak="0">
    <w:nsid w:val="69356871"/>
    <w:multiLevelType w:val="multilevel"/>
    <w:tmpl w:val="9D625AA6"/>
    <w:numStyleLink w:val="ListNumberedHeadings"/>
  </w:abstractNum>
  <w:abstractNum w:abstractNumId="26" w15:restartNumberingAfterBreak="0">
    <w:nsid w:val="6C356ED4"/>
    <w:multiLevelType w:val="multilevel"/>
    <w:tmpl w:val="0809001D"/>
    <w:styleLink w:val="Markbullet"/>
    <w:lvl w:ilvl="0">
      <w:start w:val="1"/>
      <w:numFmt w:val="bullet"/>
      <w:lvlText w:val=""/>
      <w:lvlJc w:val="left"/>
      <w:pPr>
        <w:ind w:left="360" w:hanging="360"/>
      </w:pPr>
      <w:rPr>
        <w:rFonts w:ascii="Symbol" w:hAnsi="Symbol" w:cs="Times New Roman" w:hint="default"/>
        <w:color w:val="auto"/>
      </w:rPr>
    </w:lvl>
    <w:lvl w:ilvl="1">
      <w:start w:val="1"/>
      <w:numFmt w:val="bullet"/>
      <w:lvlText w:val=""/>
      <w:lvlJc w:val="left"/>
      <w:pPr>
        <w:ind w:left="720" w:hanging="360"/>
      </w:pPr>
      <w:rPr>
        <w:rFonts w:ascii="Symbol" w:hAnsi="Symbol" w:cs="Times New Roman" w:hint="default"/>
        <w:color w:val="auto"/>
      </w:rPr>
    </w:lvl>
    <w:lvl w:ilvl="2">
      <w:start w:val="1"/>
      <w:numFmt w:val="bullet"/>
      <w:lvlText w:val=""/>
      <w:lvlJc w:val="left"/>
      <w:pPr>
        <w:ind w:left="1080" w:hanging="360"/>
      </w:pPr>
      <w:rPr>
        <w:rFonts w:ascii="Symbol" w:hAnsi="Symbol" w:cs="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833908"/>
    <w:multiLevelType w:val="multilevel"/>
    <w:tmpl w:val="F78A1DCA"/>
    <w:numStyleLink w:val="ListTableBullet"/>
  </w:abstractNum>
  <w:abstractNum w:abstractNumId="28" w15:restartNumberingAfterBreak="0">
    <w:nsid w:val="73B94600"/>
    <w:multiLevelType w:val="multilevel"/>
    <w:tmpl w:val="0B96E482"/>
    <w:numStyleLink w:val="ListAlpha"/>
  </w:abstractNum>
  <w:abstractNum w:abstractNumId="29" w15:restartNumberingAfterBreak="0">
    <w:nsid w:val="748F5A77"/>
    <w:multiLevelType w:val="hybridMultilevel"/>
    <w:tmpl w:val="C668036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0" w15:restartNumberingAfterBreak="0">
    <w:nsid w:val="7A393121"/>
    <w:multiLevelType w:val="hybridMultilevel"/>
    <w:tmpl w:val="F50C4CFC"/>
    <w:lvl w:ilvl="0" w:tplc="0C090001">
      <w:start w:val="1"/>
      <w:numFmt w:val="bullet"/>
      <w:lvlText w:val=""/>
      <w:lvlJc w:val="left"/>
      <w:pPr>
        <w:ind w:left="1104" w:hanging="440"/>
      </w:pPr>
      <w:rPr>
        <w:rFonts w:ascii="Symbol" w:hAnsi="Symbol" w:hint="default"/>
      </w:rPr>
    </w:lvl>
    <w:lvl w:ilvl="1" w:tplc="0409000B" w:tentative="1">
      <w:start w:val="1"/>
      <w:numFmt w:val="bullet"/>
      <w:lvlText w:val=""/>
      <w:lvlJc w:val="left"/>
      <w:pPr>
        <w:ind w:left="1544" w:hanging="440"/>
      </w:pPr>
      <w:rPr>
        <w:rFonts w:ascii="Wingdings" w:hAnsi="Wingdings" w:hint="default"/>
      </w:rPr>
    </w:lvl>
    <w:lvl w:ilvl="2" w:tplc="0409000D" w:tentative="1">
      <w:start w:val="1"/>
      <w:numFmt w:val="bullet"/>
      <w:lvlText w:val=""/>
      <w:lvlJc w:val="left"/>
      <w:pPr>
        <w:ind w:left="1984" w:hanging="440"/>
      </w:pPr>
      <w:rPr>
        <w:rFonts w:ascii="Wingdings" w:hAnsi="Wingdings" w:hint="default"/>
      </w:rPr>
    </w:lvl>
    <w:lvl w:ilvl="3" w:tplc="04090001" w:tentative="1">
      <w:start w:val="1"/>
      <w:numFmt w:val="bullet"/>
      <w:lvlText w:val=""/>
      <w:lvlJc w:val="left"/>
      <w:pPr>
        <w:ind w:left="2424" w:hanging="440"/>
      </w:pPr>
      <w:rPr>
        <w:rFonts w:ascii="Wingdings" w:hAnsi="Wingdings" w:hint="default"/>
      </w:rPr>
    </w:lvl>
    <w:lvl w:ilvl="4" w:tplc="0409000B" w:tentative="1">
      <w:start w:val="1"/>
      <w:numFmt w:val="bullet"/>
      <w:lvlText w:val=""/>
      <w:lvlJc w:val="left"/>
      <w:pPr>
        <w:ind w:left="2864" w:hanging="440"/>
      </w:pPr>
      <w:rPr>
        <w:rFonts w:ascii="Wingdings" w:hAnsi="Wingdings" w:hint="default"/>
      </w:rPr>
    </w:lvl>
    <w:lvl w:ilvl="5" w:tplc="0409000D" w:tentative="1">
      <w:start w:val="1"/>
      <w:numFmt w:val="bullet"/>
      <w:lvlText w:val=""/>
      <w:lvlJc w:val="left"/>
      <w:pPr>
        <w:ind w:left="3304" w:hanging="440"/>
      </w:pPr>
      <w:rPr>
        <w:rFonts w:ascii="Wingdings" w:hAnsi="Wingdings" w:hint="default"/>
      </w:rPr>
    </w:lvl>
    <w:lvl w:ilvl="6" w:tplc="04090001" w:tentative="1">
      <w:start w:val="1"/>
      <w:numFmt w:val="bullet"/>
      <w:lvlText w:val=""/>
      <w:lvlJc w:val="left"/>
      <w:pPr>
        <w:ind w:left="3744" w:hanging="440"/>
      </w:pPr>
      <w:rPr>
        <w:rFonts w:ascii="Wingdings" w:hAnsi="Wingdings" w:hint="default"/>
      </w:rPr>
    </w:lvl>
    <w:lvl w:ilvl="7" w:tplc="0409000B" w:tentative="1">
      <w:start w:val="1"/>
      <w:numFmt w:val="bullet"/>
      <w:lvlText w:val=""/>
      <w:lvlJc w:val="left"/>
      <w:pPr>
        <w:ind w:left="4184" w:hanging="440"/>
      </w:pPr>
      <w:rPr>
        <w:rFonts w:ascii="Wingdings" w:hAnsi="Wingdings" w:hint="default"/>
      </w:rPr>
    </w:lvl>
    <w:lvl w:ilvl="8" w:tplc="0409000D" w:tentative="1">
      <w:start w:val="1"/>
      <w:numFmt w:val="bullet"/>
      <w:lvlText w:val=""/>
      <w:lvlJc w:val="left"/>
      <w:pPr>
        <w:ind w:left="4624" w:hanging="440"/>
      </w:pPr>
      <w:rPr>
        <w:rFonts w:ascii="Wingdings" w:hAnsi="Wingdings" w:hint="default"/>
      </w:rPr>
    </w:lvl>
  </w:abstractNum>
  <w:abstractNum w:abstractNumId="31" w15:restartNumberingAfterBreak="0">
    <w:nsid w:val="7AA84F7B"/>
    <w:multiLevelType w:val="multilevel"/>
    <w:tmpl w:val="BE1CBCF8"/>
    <w:numStyleLink w:val="ListNumber"/>
  </w:abstractNum>
  <w:num w:numId="1" w16cid:durableId="331224763">
    <w:abstractNumId w:val="2"/>
  </w:num>
  <w:num w:numId="2" w16cid:durableId="1996689226">
    <w:abstractNumId w:val="11"/>
  </w:num>
  <w:num w:numId="3" w16cid:durableId="1372339492">
    <w:abstractNumId w:val="6"/>
  </w:num>
  <w:num w:numId="4" w16cid:durableId="1292321281">
    <w:abstractNumId w:val="14"/>
  </w:num>
  <w:num w:numId="5" w16cid:durableId="709843258">
    <w:abstractNumId w:val="0"/>
  </w:num>
  <w:num w:numId="6" w16cid:durableId="1724595348">
    <w:abstractNumId w:val="4"/>
  </w:num>
  <w:num w:numId="7" w16cid:durableId="1552502625">
    <w:abstractNumId w:val="23"/>
  </w:num>
  <w:num w:numId="8" w16cid:durableId="2026788445">
    <w:abstractNumId w:val="28"/>
  </w:num>
  <w:num w:numId="9" w16cid:durableId="845487412">
    <w:abstractNumId w:val="20"/>
  </w:num>
  <w:num w:numId="10" w16cid:durableId="1785270009">
    <w:abstractNumId w:val="3"/>
  </w:num>
  <w:num w:numId="11" w16cid:durableId="1528904558">
    <w:abstractNumId w:val="5"/>
  </w:num>
  <w:num w:numId="12" w16cid:durableId="1615206809">
    <w:abstractNumId w:val="21"/>
  </w:num>
  <w:num w:numId="13" w16cid:durableId="1457287050">
    <w:abstractNumId w:val="12"/>
  </w:num>
  <w:num w:numId="14" w16cid:durableId="1289968661">
    <w:abstractNumId w:val="26"/>
  </w:num>
  <w:num w:numId="15" w16cid:durableId="1292787188">
    <w:abstractNumId w:val="27"/>
  </w:num>
  <w:num w:numId="16" w16cid:durableId="49235371">
    <w:abstractNumId w:val="10"/>
  </w:num>
  <w:num w:numId="17" w16cid:durableId="1733429832">
    <w:abstractNumId w:val="15"/>
  </w:num>
  <w:num w:numId="18" w16cid:durableId="709384581">
    <w:abstractNumId w:val="13"/>
  </w:num>
  <w:num w:numId="19" w16cid:durableId="314920220">
    <w:abstractNumId w:val="31"/>
    <w:lvlOverride w:ilvl="0">
      <w:lvl w:ilvl="0">
        <w:start w:val="1"/>
        <w:numFmt w:val="decimal"/>
        <w:pStyle w:val="a0"/>
        <w:lvlText w:val="%1."/>
        <w:lvlJc w:val="left"/>
        <w:pPr>
          <w:tabs>
            <w:tab w:val="num" w:pos="425"/>
          </w:tabs>
          <w:ind w:left="425" w:hanging="425"/>
        </w:pPr>
        <w:rPr>
          <w:rFonts w:ascii="Calibri Light" w:hAnsi="Calibri Light" w:cs="Calibri Light"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lowerLetter"/>
        <w:pStyle w:val="2"/>
        <w:lvlText w:val="%2."/>
        <w:lvlJc w:val="left"/>
        <w:pPr>
          <w:tabs>
            <w:tab w:val="num" w:pos="850"/>
          </w:tabs>
          <w:ind w:left="850" w:hanging="425"/>
        </w:pPr>
        <w:rPr>
          <w:rFonts w:asciiTheme="minorHAnsi" w:hAnsiTheme="minorHAnsi" w:hint="default"/>
          <w:b w:val="0"/>
          <w:i w:val="0"/>
          <w:color w:val="auto"/>
          <w:sz w:val="18"/>
        </w:rPr>
      </w:lvl>
    </w:lvlOverride>
    <w:lvlOverride w:ilvl="2">
      <w:lvl w:ilvl="2">
        <w:start w:val="1"/>
        <w:numFmt w:val="lowerRoman"/>
        <w:pStyle w:val="3"/>
        <w:lvlText w:val="%3."/>
        <w:lvlJc w:val="left"/>
        <w:pPr>
          <w:tabs>
            <w:tab w:val="num" w:pos="1275"/>
          </w:tabs>
          <w:ind w:left="1275" w:hanging="425"/>
        </w:pPr>
        <w:rPr>
          <w:rFonts w:asciiTheme="minorHAnsi" w:hAnsiTheme="minorHAnsi" w:hint="default"/>
          <w:b w:val="0"/>
          <w:i w:val="0"/>
          <w:color w:val="auto"/>
          <w:sz w:val="18"/>
        </w:rPr>
      </w:lvl>
    </w:lvlOverride>
    <w:lvlOverride w:ilvl="3">
      <w:lvl w:ilvl="3">
        <w:start w:val="1"/>
        <w:numFmt w:val="upperLetter"/>
        <w:pStyle w:val="4"/>
        <w:lvlText w:val="%4."/>
        <w:lvlJc w:val="left"/>
        <w:pPr>
          <w:tabs>
            <w:tab w:val="num" w:pos="1700"/>
          </w:tabs>
          <w:ind w:left="1700" w:hanging="425"/>
        </w:pPr>
        <w:rPr>
          <w:rFonts w:asciiTheme="minorHAnsi" w:hAnsiTheme="minorHAnsi" w:hint="default"/>
          <w:b w:val="0"/>
          <w:i w:val="0"/>
          <w:color w:val="auto"/>
          <w:sz w:val="18"/>
        </w:rPr>
      </w:lvl>
    </w:lvlOverride>
    <w:lvlOverride w:ilvl="4">
      <w:lvl w:ilvl="4">
        <w:start w:val="1"/>
        <w:numFmt w:val="upperRoman"/>
        <w:pStyle w:val="5"/>
        <w:lvlText w:val="%5."/>
        <w:lvlJc w:val="left"/>
        <w:pPr>
          <w:tabs>
            <w:tab w:val="num" w:pos="2125"/>
          </w:tabs>
          <w:ind w:left="2125" w:hanging="425"/>
        </w:pPr>
        <w:rPr>
          <w:rFonts w:asciiTheme="minorHAnsi" w:hAnsiTheme="minorHAnsi" w:hint="default"/>
          <w:b w:val="0"/>
          <w:i w:val="0"/>
          <w:color w:val="auto"/>
          <w:sz w:val="18"/>
        </w:rPr>
      </w:lvl>
    </w:lvlOverride>
    <w:lvlOverride w:ilvl="5">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18"/>
        </w:rPr>
      </w:lvl>
    </w:lvlOverride>
    <w:lvlOverride w:ilvl="6">
      <w:lvl w:ilvl="6">
        <w:start w:val="1"/>
        <w:numFmt w:val="none"/>
        <w:suff w:val="nothing"/>
        <w:lvlText w:val="%7"/>
        <w:lvlJc w:val="left"/>
        <w:pPr>
          <w:ind w:left="2975" w:hanging="425"/>
        </w:pPr>
        <w:rPr>
          <w:rFonts w:hint="default"/>
          <w:color w:val="E1001A"/>
        </w:rPr>
      </w:lvl>
    </w:lvlOverride>
    <w:lvlOverride w:ilvl="7">
      <w:lvl w:ilvl="7">
        <w:start w:val="1"/>
        <w:numFmt w:val="none"/>
        <w:suff w:val="nothing"/>
        <w:lvlText w:val="%8"/>
        <w:lvlJc w:val="left"/>
        <w:pPr>
          <w:ind w:left="3400" w:hanging="425"/>
        </w:pPr>
        <w:rPr>
          <w:rFonts w:hint="default"/>
          <w:color w:val="E1001A"/>
          <w:sz w:val="20"/>
        </w:rPr>
      </w:lvl>
    </w:lvlOverride>
    <w:lvlOverride w:ilvl="8">
      <w:lvl w:ilvl="8">
        <w:start w:val="1"/>
        <w:numFmt w:val="none"/>
        <w:suff w:val="nothing"/>
        <w:lvlText w:val="%9"/>
        <w:lvlJc w:val="left"/>
        <w:pPr>
          <w:ind w:left="3825" w:hanging="425"/>
        </w:pPr>
        <w:rPr>
          <w:rFonts w:hint="default"/>
          <w:color w:val="E1001A"/>
        </w:rPr>
      </w:lvl>
    </w:lvlOverride>
  </w:num>
  <w:num w:numId="20" w16cid:durableId="1429694387">
    <w:abstractNumId w:val="25"/>
    <w:lvlOverride w:ilvl="0">
      <w:lvl w:ilvl="0">
        <w:start w:val="1"/>
        <w:numFmt w:val="decimal"/>
        <w:pStyle w:val="NbrHeading1"/>
        <w:lvlText w:val="%1"/>
        <w:lvlJc w:val="left"/>
        <w:pPr>
          <w:tabs>
            <w:tab w:val="num" w:pos="1134"/>
          </w:tabs>
          <w:ind w:left="1134" w:hanging="1134"/>
        </w:pPr>
        <w:rPr>
          <w:rFonts w:ascii="Calibri" w:hAnsi="Calibri" w:cs="Calibri" w:hint="default"/>
          <w:b/>
          <w:bCs/>
          <w:i w:val="0"/>
          <w:iCs w:val="0"/>
          <w:color w:val="000000" w:themeColor="text1"/>
        </w:rPr>
      </w:lvl>
    </w:lvlOverride>
    <w:lvlOverride w:ilvl="1">
      <w:lvl w:ilvl="1">
        <w:start w:val="1"/>
        <w:numFmt w:val="decimal"/>
        <w:pStyle w:val="NbrHeading2"/>
        <w:lvlText w:val="%1.%2"/>
        <w:lvlJc w:val="left"/>
        <w:pPr>
          <w:tabs>
            <w:tab w:val="num" w:pos="1134"/>
          </w:tabs>
          <w:ind w:left="1134" w:hanging="1134"/>
        </w:pPr>
      </w:lvl>
    </w:lvlOverride>
    <w:lvlOverride w:ilvl="2">
      <w:lvl w:ilvl="2">
        <w:start w:val="1"/>
        <w:numFmt w:val="decimal"/>
        <w:lvlText w:val="%1.%2.%3"/>
        <w:lvlJc w:val="left"/>
        <w:pPr>
          <w:tabs>
            <w:tab w:val="num" w:pos="1276"/>
          </w:tabs>
          <w:ind w:left="1276" w:hanging="1134"/>
        </w:pPr>
      </w:lvl>
    </w:lvlOverride>
  </w:num>
  <w:num w:numId="21" w16cid:durableId="1927036987">
    <w:abstractNumId w:val="9"/>
    <w:lvlOverride w:ilvl="0">
      <w:lvl w:ilvl="0">
        <w:start w:val="1"/>
        <w:numFmt w:val="bullet"/>
        <w:lvlText w:val=""/>
        <w:lvlJc w:val="left"/>
        <w:pPr>
          <w:ind w:left="360" w:hanging="360"/>
        </w:pPr>
        <w:rPr>
          <w:rFonts w:ascii="Symbol" w:hAnsi="Symbol" w:cs="Times New Roman" w:hint="default"/>
          <w:color w:val="auto"/>
        </w:rPr>
      </w:lvl>
    </w:lvlOverride>
    <w:lvlOverride w:ilvl="1">
      <w:lvl w:ilvl="1">
        <w:start w:val="1"/>
        <w:numFmt w:val="bullet"/>
        <w:pStyle w:val="a1"/>
        <w:lvlText w:val="¡"/>
        <w:lvlJc w:val="left"/>
        <w:pPr>
          <w:ind w:left="720" w:hanging="360"/>
        </w:pPr>
        <w:rPr>
          <w:rFonts w:ascii="Wingdings" w:hAnsi="Wingdings" w:cs="Times New Roman" w:hint="default"/>
          <w:color w:val="auto"/>
          <w:sz w:val="18"/>
        </w:rPr>
      </w:lvl>
    </w:lvlOverride>
    <w:lvlOverride w:ilvl="2">
      <w:lvl w:ilvl="2">
        <w:start w:val="1"/>
        <w:numFmt w:val="bullet"/>
        <w:pStyle w:val="31"/>
        <w:lvlText w:val="–"/>
        <w:lvlJc w:val="left"/>
        <w:pPr>
          <w:ind w:left="1080" w:hanging="360"/>
        </w:pPr>
        <w:rPr>
          <w:rFonts w:ascii="Times New Roman" w:hAnsi="Times New Roman" w:cs="Times New Roman" w:hint="default"/>
          <w:color w:val="auto"/>
        </w:rPr>
      </w:lvl>
    </w:lvlOverride>
    <w:lvlOverride w:ilvl="3">
      <w:lvl w:ilvl="3">
        <w:start w:val="1"/>
        <w:numFmt w:val="bullet"/>
        <w:lvlText w:val="¡"/>
        <w:lvlJc w:val="left"/>
        <w:pPr>
          <w:ind w:left="1440" w:hanging="360"/>
        </w:pPr>
        <w:rPr>
          <w:rFonts w:ascii="Wingdings" w:hAnsi="Wingdings" w:cs="Times New Roman" w:hint="default"/>
          <w:color w:val="auto"/>
        </w:r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2" w16cid:durableId="512035825">
    <w:abstractNumId w:val="16"/>
  </w:num>
  <w:num w:numId="23" w16cid:durableId="481122713">
    <w:abstractNumId w:val="30"/>
  </w:num>
  <w:num w:numId="24" w16cid:durableId="1153066495">
    <w:abstractNumId w:val="8"/>
  </w:num>
  <w:num w:numId="25" w16cid:durableId="1519925841">
    <w:abstractNumId w:val="24"/>
  </w:num>
  <w:num w:numId="26" w16cid:durableId="1982493062">
    <w:abstractNumId w:val="22"/>
  </w:num>
  <w:num w:numId="27" w16cid:durableId="1387870497">
    <w:abstractNumId w:val="18"/>
  </w:num>
  <w:num w:numId="28" w16cid:durableId="1939023333">
    <w:abstractNumId w:val="1"/>
  </w:num>
  <w:num w:numId="29" w16cid:durableId="688724243">
    <w:abstractNumId w:val="7"/>
  </w:num>
  <w:num w:numId="30" w16cid:durableId="675763480">
    <w:abstractNumId w:val="17"/>
  </w:num>
  <w:num w:numId="31" w16cid:durableId="630667706">
    <w:abstractNumId w:val="19"/>
  </w:num>
  <w:num w:numId="32" w16cid:durableId="122945704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0C"/>
    <w:rsid w:val="00195346"/>
    <w:rsid w:val="001A31E3"/>
    <w:rsid w:val="00304F66"/>
    <w:rsid w:val="003D403D"/>
    <w:rsid w:val="00594E75"/>
    <w:rsid w:val="005D28FD"/>
    <w:rsid w:val="006B4B92"/>
    <w:rsid w:val="00935928"/>
    <w:rsid w:val="00955F45"/>
    <w:rsid w:val="009A08C0"/>
    <w:rsid w:val="00B1230C"/>
    <w:rsid w:val="00B50CE4"/>
    <w:rsid w:val="00CE1F5F"/>
    <w:rsid w:val="00E14F70"/>
    <w:rsid w:val="00E16906"/>
    <w:rsid w:val="00E77F05"/>
    <w:rsid w:val="00EC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049DB"/>
  <w15:chartTrackingRefBased/>
  <w15:docId w15:val="{8713388A-1EB3-47D7-A37F-658C795A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5"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aliases w:val="UTS Normal"/>
    <w:qFormat/>
    <w:rsid w:val="003D403D"/>
    <w:pPr>
      <w:spacing w:after="240" w:line="360" w:lineRule="auto"/>
    </w:pPr>
    <w:rPr>
      <w:rFonts w:ascii="Times New Roman" w:eastAsia="ＭＳ Ｐ明朝" w:hAnsi="Times New Roman"/>
      <w:kern w:val="0"/>
      <w:sz w:val="21"/>
      <w:szCs w:val="22"/>
      <w:lang w:val="en-AU" w:eastAsia="en-AU"/>
      <w14:ligatures w14:val="none"/>
    </w:rPr>
  </w:style>
  <w:style w:type="paragraph" w:styleId="1">
    <w:name w:val="heading 1"/>
    <w:aliases w:val="UTS H1"/>
    <w:basedOn w:val="a2"/>
    <w:next w:val="a3"/>
    <w:link w:val="10"/>
    <w:autoRedefine/>
    <w:qFormat/>
    <w:rsid w:val="00B1230C"/>
    <w:pPr>
      <w:keepNext/>
      <w:keepLines/>
      <w:widowControl w:val="0"/>
      <w:tabs>
        <w:tab w:val="num" w:pos="0"/>
      </w:tabs>
      <w:spacing w:before="240"/>
      <w:jc w:val="both"/>
      <w:outlineLvl w:val="0"/>
    </w:pPr>
    <w:rPr>
      <w:rFonts w:eastAsia="Times New Roman" w:cs="Arial"/>
      <w:bCs/>
      <w:color w:val="156082" w:themeColor="accent1"/>
      <w:sz w:val="48"/>
      <w:szCs w:val="32"/>
    </w:rPr>
  </w:style>
  <w:style w:type="paragraph" w:styleId="21">
    <w:name w:val="heading 2"/>
    <w:aliases w:val="UTS H2"/>
    <w:basedOn w:val="a2"/>
    <w:next w:val="a3"/>
    <w:link w:val="22"/>
    <w:autoRedefine/>
    <w:qFormat/>
    <w:rsid w:val="00B1230C"/>
    <w:pPr>
      <w:keepNext/>
      <w:keepLines/>
      <w:spacing w:before="320"/>
      <w:outlineLvl w:val="1"/>
    </w:pPr>
    <w:rPr>
      <w:rFonts w:eastAsia="Times New Roman" w:cs="Arial"/>
      <w:bCs/>
      <w:iCs/>
      <w:color w:val="156082" w:themeColor="accent1"/>
      <w:sz w:val="30"/>
      <w:szCs w:val="28"/>
    </w:rPr>
  </w:style>
  <w:style w:type="paragraph" w:styleId="32">
    <w:name w:val="heading 3"/>
    <w:aliases w:val="UTS H3"/>
    <w:basedOn w:val="a2"/>
    <w:next w:val="a3"/>
    <w:link w:val="33"/>
    <w:qFormat/>
    <w:rsid w:val="00B1230C"/>
    <w:pPr>
      <w:keepNext/>
      <w:keepLines/>
      <w:spacing w:before="280" w:after="140"/>
      <w:outlineLvl w:val="2"/>
    </w:pPr>
    <w:rPr>
      <w:rFonts w:asciiTheme="majorHAnsi" w:eastAsia="Times New Roman" w:hAnsiTheme="majorHAnsi" w:cs="Times New Roman"/>
      <w:b/>
      <w:bCs/>
      <w:szCs w:val="24"/>
    </w:rPr>
  </w:style>
  <w:style w:type="paragraph" w:styleId="40">
    <w:name w:val="heading 4"/>
    <w:aliases w:val="UTS H4"/>
    <w:basedOn w:val="a2"/>
    <w:next w:val="a3"/>
    <w:link w:val="41"/>
    <w:qFormat/>
    <w:rsid w:val="00B1230C"/>
    <w:pPr>
      <w:spacing w:before="240"/>
      <w:outlineLvl w:val="3"/>
    </w:pPr>
    <w:rPr>
      <w:rFonts w:ascii="Calibri" w:hAnsi="Calibri" w:cs="Calibri"/>
      <w:b/>
      <w:bCs/>
    </w:rPr>
  </w:style>
  <w:style w:type="paragraph" w:styleId="50">
    <w:name w:val="heading 5"/>
    <w:basedOn w:val="a2"/>
    <w:next w:val="a3"/>
    <w:link w:val="51"/>
    <w:semiHidden/>
    <w:qFormat/>
    <w:rsid w:val="00B1230C"/>
    <w:pPr>
      <w:keepNext/>
      <w:keepLines/>
      <w:spacing w:before="240" w:after="120"/>
      <w:outlineLvl w:val="4"/>
    </w:pPr>
    <w:rPr>
      <w:rFonts w:asciiTheme="majorHAnsi" w:eastAsia="Times New Roman" w:hAnsiTheme="majorHAnsi" w:cs="Times New Roman"/>
      <w:bCs/>
      <w:iCs/>
      <w:sz w:val="20"/>
      <w:szCs w:val="26"/>
    </w:rPr>
  </w:style>
  <w:style w:type="paragraph" w:styleId="6">
    <w:name w:val="heading 6"/>
    <w:basedOn w:val="a2"/>
    <w:next w:val="a2"/>
    <w:link w:val="60"/>
    <w:uiPriority w:val="99"/>
    <w:semiHidden/>
    <w:qFormat/>
    <w:rsid w:val="00B1230C"/>
    <w:pPr>
      <w:spacing w:before="120" w:after="120"/>
      <w:outlineLvl w:val="5"/>
    </w:pPr>
    <w:rPr>
      <w:rFonts w:eastAsia="Times New Roman" w:cs="Times New Roman"/>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aliases w:val="UTS H1 (文字)"/>
    <w:basedOn w:val="a4"/>
    <w:link w:val="1"/>
    <w:rsid w:val="00B1230C"/>
    <w:rPr>
      <w:rFonts w:ascii="Calibri Light" w:eastAsia="Times New Roman" w:hAnsi="Calibri Light" w:cs="Arial"/>
      <w:bCs/>
      <w:color w:val="156082" w:themeColor="accent1"/>
      <w:kern w:val="0"/>
      <w:sz w:val="48"/>
      <w:szCs w:val="32"/>
      <w:lang w:val="en-AU" w:eastAsia="en-AU"/>
      <w14:ligatures w14:val="none"/>
    </w:rPr>
  </w:style>
  <w:style w:type="character" w:customStyle="1" w:styleId="22">
    <w:name w:val="見出し 2 (文字)"/>
    <w:aliases w:val="UTS H2 (文字)"/>
    <w:basedOn w:val="a4"/>
    <w:link w:val="21"/>
    <w:rsid w:val="00B1230C"/>
    <w:rPr>
      <w:rFonts w:ascii="Calibri Light" w:eastAsia="Times New Roman" w:hAnsi="Calibri Light" w:cs="Arial"/>
      <w:bCs/>
      <w:iCs/>
      <w:color w:val="156082" w:themeColor="accent1"/>
      <w:kern w:val="0"/>
      <w:sz w:val="30"/>
      <w:szCs w:val="28"/>
      <w:lang w:val="en-AU" w:eastAsia="en-AU"/>
      <w14:ligatures w14:val="none"/>
    </w:rPr>
  </w:style>
  <w:style w:type="character" w:customStyle="1" w:styleId="33">
    <w:name w:val="見出し 3 (文字)"/>
    <w:aliases w:val="UTS H3 (文字)"/>
    <w:basedOn w:val="a4"/>
    <w:link w:val="32"/>
    <w:rsid w:val="00B1230C"/>
    <w:rPr>
      <w:rFonts w:asciiTheme="majorHAnsi" w:eastAsia="Times New Roman" w:hAnsiTheme="majorHAnsi" w:cs="Times New Roman"/>
      <w:b/>
      <w:bCs/>
      <w:kern w:val="0"/>
      <w:lang w:val="en-AU" w:eastAsia="en-AU"/>
      <w14:ligatures w14:val="none"/>
    </w:rPr>
  </w:style>
  <w:style w:type="character" w:customStyle="1" w:styleId="41">
    <w:name w:val="見出し 4 (文字)"/>
    <w:aliases w:val="UTS H4 (文字)"/>
    <w:basedOn w:val="a4"/>
    <w:link w:val="40"/>
    <w:rsid w:val="00B1230C"/>
    <w:rPr>
      <w:rFonts w:ascii="Calibri" w:hAnsi="Calibri" w:cs="Calibri"/>
      <w:b/>
      <w:bCs/>
      <w:kern w:val="0"/>
      <w:szCs w:val="22"/>
      <w:lang w:val="en-AU" w:eastAsia="en-AU"/>
      <w14:ligatures w14:val="none"/>
    </w:rPr>
  </w:style>
  <w:style w:type="character" w:customStyle="1" w:styleId="51">
    <w:name w:val="見出し 5 (文字)"/>
    <w:basedOn w:val="a4"/>
    <w:link w:val="50"/>
    <w:semiHidden/>
    <w:rsid w:val="00B1230C"/>
    <w:rPr>
      <w:rFonts w:asciiTheme="majorHAnsi" w:eastAsia="Times New Roman" w:hAnsiTheme="majorHAnsi" w:cs="Times New Roman"/>
      <w:bCs/>
      <w:iCs/>
      <w:kern w:val="0"/>
      <w:sz w:val="20"/>
      <w:szCs w:val="26"/>
      <w:lang w:val="en-AU" w:eastAsia="en-AU"/>
      <w14:ligatures w14:val="none"/>
    </w:rPr>
  </w:style>
  <w:style w:type="character" w:customStyle="1" w:styleId="60">
    <w:name w:val="見出し 6 (文字)"/>
    <w:basedOn w:val="a4"/>
    <w:link w:val="6"/>
    <w:uiPriority w:val="99"/>
    <w:semiHidden/>
    <w:rsid w:val="00B1230C"/>
    <w:rPr>
      <w:rFonts w:ascii="Calibri Light" w:eastAsia="Times New Roman" w:hAnsi="Calibri Light" w:cs="Times New Roman"/>
      <w:bCs/>
      <w:kern w:val="0"/>
      <w:szCs w:val="22"/>
      <w:lang w:val="en-AU" w:eastAsia="en-AU"/>
      <w14:ligatures w14:val="none"/>
    </w:rPr>
  </w:style>
  <w:style w:type="paragraph" w:styleId="a3">
    <w:name w:val="Body Text"/>
    <w:aliases w:val="UTS Body"/>
    <w:basedOn w:val="a2"/>
    <w:link w:val="a7"/>
    <w:autoRedefine/>
    <w:uiPriority w:val="99"/>
    <w:qFormat/>
    <w:rsid w:val="00B1230C"/>
    <w:pPr>
      <w:spacing w:before="120" w:after="120"/>
      <w:ind w:right="113"/>
      <w:jc w:val="both"/>
    </w:pPr>
    <w:rPr>
      <w:rFonts w:eastAsia="Times New Roman" w:cs="Times New Roman"/>
      <w:color w:val="000000" w:themeColor="text1"/>
      <w:szCs w:val="24"/>
    </w:rPr>
  </w:style>
  <w:style w:type="character" w:customStyle="1" w:styleId="a7">
    <w:name w:val="本文 (文字)"/>
    <w:aliases w:val="UTS Body (文字)"/>
    <w:basedOn w:val="a4"/>
    <w:link w:val="a3"/>
    <w:uiPriority w:val="99"/>
    <w:rsid w:val="00B1230C"/>
    <w:rPr>
      <w:rFonts w:ascii="Calibri Light" w:eastAsia="Times New Roman" w:hAnsi="Calibri Light" w:cs="Times New Roman"/>
      <w:color w:val="000000" w:themeColor="text1"/>
      <w:kern w:val="0"/>
      <w:lang w:val="en-AU" w:eastAsia="en-AU"/>
      <w14:ligatures w14:val="none"/>
    </w:rPr>
  </w:style>
  <w:style w:type="paragraph" w:customStyle="1" w:styleId="NbrHeading1">
    <w:name w:val="Nbr Heading 1"/>
    <w:aliases w:val="UTS Nbr H1"/>
    <w:basedOn w:val="1"/>
    <w:next w:val="a3"/>
    <w:autoRedefine/>
    <w:qFormat/>
    <w:rsid w:val="00B1230C"/>
    <w:pPr>
      <w:numPr>
        <w:numId w:val="20"/>
      </w:numPr>
      <w:tabs>
        <w:tab w:val="clear" w:pos="1134"/>
        <w:tab w:val="num" w:pos="567"/>
      </w:tabs>
    </w:pPr>
    <w:rPr>
      <w:rFonts w:ascii="Calibri" w:hAnsi="Calibri"/>
      <w:b/>
      <w:bCs w:val="0"/>
      <w:color w:val="000000" w:themeColor="text1"/>
      <w:sz w:val="22"/>
    </w:rPr>
  </w:style>
  <w:style w:type="paragraph" w:customStyle="1" w:styleId="NbrHeading2">
    <w:name w:val="Nbr Heading 2"/>
    <w:aliases w:val="UTS Nbr H2"/>
    <w:basedOn w:val="21"/>
    <w:next w:val="a3"/>
    <w:autoRedefine/>
    <w:qFormat/>
    <w:rsid w:val="00B1230C"/>
    <w:pPr>
      <w:numPr>
        <w:ilvl w:val="1"/>
        <w:numId w:val="20"/>
      </w:numPr>
      <w:tabs>
        <w:tab w:val="clear" w:pos="1134"/>
        <w:tab w:val="num" w:pos="567"/>
      </w:tabs>
    </w:pPr>
    <w:rPr>
      <w:color w:val="000000" w:themeColor="text1"/>
      <w:sz w:val="22"/>
    </w:rPr>
  </w:style>
  <w:style w:type="paragraph" w:customStyle="1" w:styleId="NbrHeading3">
    <w:name w:val="Nbr Heading 3"/>
    <w:aliases w:val="UTS Nbr H3"/>
    <w:basedOn w:val="32"/>
    <w:next w:val="a3"/>
    <w:autoRedefine/>
    <w:qFormat/>
    <w:rsid w:val="00B1230C"/>
    <w:pPr>
      <w:spacing w:before="240" w:after="240"/>
    </w:pPr>
    <w:rPr>
      <w:rFonts w:ascii="Calibri Light" w:hAnsi="Calibri Light" w:cs="Calibri Light"/>
      <w:b w:val="0"/>
      <w:bCs w:val="0"/>
      <w:i/>
      <w:color w:val="000000" w:themeColor="text1"/>
    </w:rPr>
  </w:style>
  <w:style w:type="paragraph" w:customStyle="1" w:styleId="NbrHeading4">
    <w:name w:val="Nbr Heading 4"/>
    <w:aliases w:val="UTS Nbr H4"/>
    <w:basedOn w:val="40"/>
    <w:next w:val="a3"/>
    <w:qFormat/>
    <w:rsid w:val="00B1230C"/>
    <w:pPr>
      <w:numPr>
        <w:ilvl w:val="3"/>
        <w:numId w:val="20"/>
      </w:numPr>
    </w:pPr>
  </w:style>
  <w:style w:type="paragraph" w:styleId="a8">
    <w:name w:val="Title"/>
    <w:aliases w:val="UTS Title"/>
    <w:basedOn w:val="a2"/>
    <w:next w:val="a3"/>
    <w:link w:val="a9"/>
    <w:uiPriority w:val="9"/>
    <w:qFormat/>
    <w:rsid w:val="00B1230C"/>
    <w:rPr>
      <w:rFonts w:asciiTheme="majorHAnsi" w:eastAsiaTheme="majorEastAsia" w:hAnsiTheme="majorHAnsi" w:cstheme="majorBidi"/>
      <w:color w:val="FFFFFF" w:themeColor="background1"/>
      <w:sz w:val="30"/>
      <w:szCs w:val="52"/>
    </w:rPr>
  </w:style>
  <w:style w:type="character" w:customStyle="1" w:styleId="a9">
    <w:name w:val="表題 (文字)"/>
    <w:aliases w:val="UTS Title (文字)"/>
    <w:basedOn w:val="a4"/>
    <w:link w:val="a8"/>
    <w:uiPriority w:val="9"/>
    <w:rsid w:val="00B1230C"/>
    <w:rPr>
      <w:rFonts w:asciiTheme="majorHAnsi" w:eastAsiaTheme="majorEastAsia" w:hAnsiTheme="majorHAnsi" w:cstheme="majorBidi"/>
      <w:color w:val="FFFFFF" w:themeColor="background1"/>
      <w:kern w:val="0"/>
      <w:sz w:val="30"/>
      <w:szCs w:val="52"/>
      <w:lang w:val="en-AU" w:eastAsia="en-AU"/>
      <w14:ligatures w14:val="none"/>
    </w:rPr>
  </w:style>
  <w:style w:type="paragraph" w:styleId="aa">
    <w:name w:val="Subtitle"/>
    <w:aliases w:val="UTS Subtitle"/>
    <w:basedOn w:val="a2"/>
    <w:next w:val="a3"/>
    <w:link w:val="ab"/>
    <w:uiPriority w:val="10"/>
    <w:qFormat/>
    <w:rsid w:val="00B1230C"/>
    <w:rPr>
      <w:rFonts w:eastAsia="Times New Roman"/>
      <w:color w:val="FFFFFF" w:themeColor="background1"/>
      <w:sz w:val="100"/>
      <w:lang w:val="en-US"/>
    </w:rPr>
  </w:style>
  <w:style w:type="character" w:customStyle="1" w:styleId="ab">
    <w:name w:val="副題 (文字)"/>
    <w:aliases w:val="UTS Subtitle (文字)"/>
    <w:basedOn w:val="a4"/>
    <w:link w:val="aa"/>
    <w:uiPriority w:val="10"/>
    <w:rsid w:val="00B1230C"/>
    <w:rPr>
      <w:rFonts w:ascii="Calibri Light" w:eastAsia="Times New Roman" w:hAnsi="Calibri Light"/>
      <w:color w:val="FFFFFF" w:themeColor="background1"/>
      <w:kern w:val="0"/>
      <w:sz w:val="100"/>
      <w:szCs w:val="22"/>
      <w:lang w:eastAsia="en-AU"/>
      <w14:ligatures w14:val="none"/>
    </w:rPr>
  </w:style>
  <w:style w:type="paragraph" w:styleId="20">
    <w:name w:val="Body Text 2"/>
    <w:basedOn w:val="a3"/>
    <w:link w:val="23"/>
    <w:uiPriority w:val="99"/>
    <w:semiHidden/>
    <w:qFormat/>
    <w:rsid w:val="00B1230C"/>
    <w:pPr>
      <w:numPr>
        <w:ilvl w:val="1"/>
        <w:numId w:val="16"/>
      </w:numPr>
      <w:tabs>
        <w:tab w:val="num" w:pos="0"/>
        <w:tab w:val="left" w:pos="567"/>
      </w:tabs>
    </w:pPr>
  </w:style>
  <w:style w:type="character" w:customStyle="1" w:styleId="23">
    <w:name w:val="本文 2 (文字)"/>
    <w:basedOn w:val="a4"/>
    <w:link w:val="20"/>
    <w:uiPriority w:val="99"/>
    <w:semiHidden/>
    <w:rsid w:val="00B1230C"/>
    <w:rPr>
      <w:rFonts w:ascii="Times New Roman" w:eastAsia="Times New Roman" w:hAnsi="Times New Roman" w:cs="Times New Roman"/>
      <w:color w:val="000000" w:themeColor="text1"/>
      <w:kern w:val="0"/>
      <w:sz w:val="21"/>
      <w:lang w:val="en-AU" w:eastAsia="en-AU"/>
      <w14:ligatures w14:val="none"/>
    </w:rPr>
  </w:style>
  <w:style w:type="paragraph" w:styleId="ac">
    <w:name w:val="header"/>
    <w:basedOn w:val="a2"/>
    <w:link w:val="ad"/>
    <w:uiPriority w:val="99"/>
    <w:rsid w:val="00B1230C"/>
    <w:rPr>
      <w:color w:val="156082" w:themeColor="accent1"/>
      <w:sz w:val="16"/>
    </w:rPr>
  </w:style>
  <w:style w:type="character" w:customStyle="1" w:styleId="ad">
    <w:name w:val="ヘッダー (文字)"/>
    <w:basedOn w:val="a4"/>
    <w:link w:val="ac"/>
    <w:uiPriority w:val="99"/>
    <w:rsid w:val="00B1230C"/>
    <w:rPr>
      <w:rFonts w:ascii="Calibri Light" w:hAnsi="Calibri Light"/>
      <w:color w:val="156082" w:themeColor="accent1"/>
      <w:kern w:val="0"/>
      <w:sz w:val="16"/>
      <w:szCs w:val="22"/>
      <w:lang w:val="en-AU" w:eastAsia="en-AU"/>
      <w14:ligatures w14:val="none"/>
    </w:rPr>
  </w:style>
  <w:style w:type="paragraph" w:styleId="ae">
    <w:name w:val="footer"/>
    <w:basedOn w:val="a2"/>
    <w:link w:val="af"/>
    <w:uiPriority w:val="99"/>
    <w:rsid w:val="00B1230C"/>
    <w:pPr>
      <w:tabs>
        <w:tab w:val="right" w:pos="9639"/>
      </w:tabs>
      <w:spacing w:after="120"/>
    </w:pPr>
    <w:rPr>
      <w:color w:val="156082" w:themeColor="accent1"/>
      <w:sz w:val="16"/>
    </w:rPr>
  </w:style>
  <w:style w:type="character" w:customStyle="1" w:styleId="af">
    <w:name w:val="フッター (文字)"/>
    <w:basedOn w:val="a4"/>
    <w:link w:val="ae"/>
    <w:uiPriority w:val="99"/>
    <w:rsid w:val="00B1230C"/>
    <w:rPr>
      <w:rFonts w:ascii="Calibri Light" w:hAnsi="Calibri Light"/>
      <w:color w:val="156082" w:themeColor="accent1"/>
      <w:kern w:val="0"/>
      <w:sz w:val="16"/>
      <w:szCs w:val="22"/>
      <w:lang w:val="en-AU" w:eastAsia="en-AU"/>
      <w14:ligatures w14:val="none"/>
    </w:rPr>
  </w:style>
  <w:style w:type="paragraph" w:styleId="a0">
    <w:name w:val="List Number"/>
    <w:aliases w:val="UTS Number"/>
    <w:basedOn w:val="a3"/>
    <w:uiPriority w:val="1"/>
    <w:qFormat/>
    <w:rsid w:val="00B1230C"/>
    <w:pPr>
      <w:numPr>
        <w:numId w:val="19"/>
      </w:numPr>
    </w:pPr>
  </w:style>
  <w:style w:type="paragraph" w:styleId="a1">
    <w:name w:val="List Bullet"/>
    <w:aliases w:val="UTS Bullet"/>
    <w:basedOn w:val="a3"/>
    <w:autoRedefine/>
    <w:uiPriority w:val="1"/>
    <w:qFormat/>
    <w:rsid w:val="00B1230C"/>
    <w:pPr>
      <w:numPr>
        <w:ilvl w:val="1"/>
        <w:numId w:val="21"/>
      </w:numPr>
    </w:pPr>
  </w:style>
  <w:style w:type="paragraph" w:styleId="af0">
    <w:name w:val="TOC Heading"/>
    <w:basedOn w:val="1"/>
    <w:next w:val="a2"/>
    <w:uiPriority w:val="39"/>
    <w:qFormat/>
    <w:rsid w:val="00B1230C"/>
    <w:pPr>
      <w:spacing w:before="480"/>
    </w:pPr>
  </w:style>
  <w:style w:type="character" w:styleId="af1">
    <w:name w:val="Hyperlink"/>
    <w:basedOn w:val="a4"/>
    <w:uiPriority w:val="99"/>
    <w:rsid w:val="00B1230C"/>
    <w:rPr>
      <w:color w:val="156082" w:themeColor="accent1"/>
      <w:u w:val="single"/>
    </w:rPr>
  </w:style>
  <w:style w:type="paragraph" w:styleId="11">
    <w:name w:val="toc 1"/>
    <w:basedOn w:val="a2"/>
    <w:next w:val="a2"/>
    <w:uiPriority w:val="39"/>
    <w:rsid w:val="00B1230C"/>
    <w:pPr>
      <w:spacing w:before="240" w:after="120"/>
    </w:pPr>
    <w:rPr>
      <w:rFonts w:ascii="Calibri" w:hAnsi="Calibri" w:cstheme="minorHAnsi"/>
      <w:b/>
      <w:bCs/>
      <w:sz w:val="20"/>
      <w:szCs w:val="24"/>
    </w:rPr>
  </w:style>
  <w:style w:type="paragraph" w:styleId="24">
    <w:name w:val="toc 2"/>
    <w:basedOn w:val="a2"/>
    <w:next w:val="a2"/>
    <w:uiPriority w:val="39"/>
    <w:rsid w:val="00B1230C"/>
    <w:pPr>
      <w:spacing w:before="120" w:after="0"/>
      <w:ind w:left="220"/>
    </w:pPr>
    <w:rPr>
      <w:rFonts w:cstheme="minorHAnsi"/>
      <w:iCs/>
      <w:sz w:val="20"/>
      <w:szCs w:val="24"/>
    </w:rPr>
  </w:style>
  <w:style w:type="paragraph" w:styleId="34">
    <w:name w:val="toc 3"/>
    <w:basedOn w:val="a2"/>
    <w:next w:val="a2"/>
    <w:uiPriority w:val="39"/>
    <w:rsid w:val="00B1230C"/>
    <w:pPr>
      <w:spacing w:after="0"/>
      <w:ind w:left="440"/>
    </w:pPr>
    <w:rPr>
      <w:rFonts w:cstheme="minorHAnsi"/>
      <w:i/>
      <w:sz w:val="20"/>
      <w:szCs w:val="24"/>
    </w:rPr>
  </w:style>
  <w:style w:type="table" w:styleId="af2">
    <w:name w:val="Table Grid"/>
    <w:basedOn w:val="a5"/>
    <w:uiPriority w:val="39"/>
    <w:rsid w:val="00B1230C"/>
    <w:pPr>
      <w:spacing w:before="80" w:after="0" w:line="240" w:lineRule="auto"/>
    </w:pPr>
    <w:rPr>
      <w:kern w:val="0"/>
      <w:szCs w:val="22"/>
      <w:lang w:val="en-AU"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nedRedTable">
    <w:name w:val="Lined Red Table"/>
    <w:basedOn w:val="LinedBlueTable"/>
    <w:uiPriority w:val="99"/>
    <w:rsid w:val="00B1230C"/>
    <w:tblPr>
      <w:tblBorders>
        <w:top w:val="none" w:sz="0" w:space="0" w:color="auto"/>
        <w:bottom w:val="single" w:sz="18" w:space="0" w:color="FAE2D5" w:themeColor="accent2" w:themeTint="33"/>
        <w:insideH w:val="single" w:sz="18" w:space="0" w:color="FAE2D5" w:themeColor="accent2" w:themeTint="33"/>
      </w:tblBorders>
    </w:tblPr>
    <w:tcPr>
      <w:shd w:val="clear" w:color="auto" w:fill="auto"/>
    </w:tcPr>
    <w:tblStylePr w:type="firstRow">
      <w:rPr>
        <w:color w:val="FFFFFF" w:themeColor="background1"/>
      </w:rPr>
      <w:tblPr/>
      <w:tcPr>
        <w:tcBorders>
          <w:top w:val="single" w:sz="18" w:space="0" w:color="FAE2D5" w:themeColor="accent2" w:themeTint="33"/>
          <w:left w:val="nil"/>
          <w:bottom w:val="nil"/>
          <w:right w:val="nil"/>
          <w:insideH w:val="nil"/>
          <w:insideV w:val="nil"/>
          <w:tl2br w:val="nil"/>
          <w:tr2bl w:val="nil"/>
        </w:tcBorders>
        <w:shd w:val="clear" w:color="auto" w:fill="E97132" w:themeFill="accent2"/>
      </w:tcPr>
    </w:tblStylePr>
    <w:tblStylePr w:type="lastRow">
      <w:rPr>
        <w:b/>
        <w:color w:val="auto"/>
      </w:rPr>
      <w:tblPr/>
      <w:tcPr>
        <w:shd w:val="clear" w:color="auto" w:fill="FFF1EF"/>
      </w:tcPr>
    </w:tblStylePr>
    <w:tblStylePr w:type="firstCol">
      <w:rPr>
        <w:color w:val="FFFFFF" w:themeColor="background1"/>
      </w:rPr>
      <w:tblPr/>
      <w:tcPr>
        <w:tcBorders>
          <w:top w:val="nil"/>
          <w:left w:val="nil"/>
          <w:bottom w:val="single" w:sz="18" w:space="0" w:color="FAE2D5" w:themeColor="accent2" w:themeTint="33"/>
          <w:right w:val="nil"/>
          <w:insideH w:val="single" w:sz="18" w:space="0" w:color="FAE2D5" w:themeColor="accent2" w:themeTint="33"/>
          <w:insideV w:val="nil"/>
        </w:tcBorders>
        <w:shd w:val="clear" w:color="auto" w:fill="E97132" w:themeFill="accent2"/>
      </w:tcPr>
    </w:tblStylePr>
    <w:tblStylePr w:type="lastCol">
      <w:tblPr/>
      <w:tcPr>
        <w:shd w:val="clear" w:color="auto" w:fill="FFF1EF"/>
      </w:tcPr>
    </w:tblStylePr>
    <w:tblStylePr w:type="band2Vert">
      <w:tblPr/>
      <w:tcPr>
        <w:shd w:val="clear" w:color="auto" w:fill="FFF1EF"/>
      </w:tcPr>
    </w:tblStylePr>
    <w:tblStylePr w:type="band2Horz">
      <w:tblPr/>
      <w:tcPr>
        <w:shd w:val="clear" w:color="auto" w:fill="FFF1EF"/>
      </w:tcPr>
    </w:tblStylePr>
  </w:style>
  <w:style w:type="paragraph" w:customStyle="1" w:styleId="TableHeading">
    <w:name w:val="Table Heading"/>
    <w:aliases w:val="UTS Table Heading"/>
    <w:basedOn w:val="a2"/>
    <w:next w:val="a3"/>
    <w:uiPriority w:val="3"/>
    <w:qFormat/>
    <w:rsid w:val="00B1230C"/>
    <w:pPr>
      <w:spacing w:before="60" w:after="60"/>
      <w:ind w:left="113" w:right="113"/>
    </w:pPr>
    <w:rPr>
      <w:b/>
    </w:rPr>
  </w:style>
  <w:style w:type="paragraph" w:customStyle="1" w:styleId="TableText">
    <w:name w:val="Table Text"/>
    <w:aliases w:val="UTS Table Text"/>
    <w:basedOn w:val="a2"/>
    <w:uiPriority w:val="3"/>
    <w:qFormat/>
    <w:rsid w:val="00B1230C"/>
    <w:pPr>
      <w:spacing w:before="60" w:after="60"/>
      <w:ind w:left="113" w:right="113"/>
    </w:pPr>
  </w:style>
  <w:style w:type="paragraph" w:customStyle="1" w:styleId="TableBullet">
    <w:name w:val="Table Bullet"/>
    <w:aliases w:val="UTS Table Bullet"/>
    <w:basedOn w:val="TableText"/>
    <w:autoRedefine/>
    <w:uiPriority w:val="4"/>
    <w:qFormat/>
    <w:rsid w:val="00B1230C"/>
    <w:pPr>
      <w:numPr>
        <w:ilvl w:val="1"/>
        <w:numId w:val="15"/>
      </w:numPr>
    </w:pPr>
    <w:rPr>
      <w:rFonts w:eastAsia="Times New Roman" w:cs="Times New Roman"/>
      <w:szCs w:val="24"/>
    </w:rPr>
  </w:style>
  <w:style w:type="paragraph" w:customStyle="1" w:styleId="TableNumber">
    <w:name w:val="Table Number"/>
    <w:aliases w:val="UTS Table Number"/>
    <w:basedOn w:val="TableText"/>
    <w:uiPriority w:val="4"/>
    <w:qFormat/>
    <w:rsid w:val="00B1230C"/>
    <w:pPr>
      <w:numPr>
        <w:numId w:val="10"/>
      </w:numPr>
    </w:pPr>
  </w:style>
  <w:style w:type="paragraph" w:styleId="30">
    <w:name w:val="Body Text 3"/>
    <w:basedOn w:val="a3"/>
    <w:link w:val="35"/>
    <w:uiPriority w:val="99"/>
    <w:semiHidden/>
    <w:qFormat/>
    <w:rsid w:val="00B1230C"/>
    <w:pPr>
      <w:numPr>
        <w:ilvl w:val="2"/>
        <w:numId w:val="16"/>
      </w:numPr>
      <w:tabs>
        <w:tab w:val="num" w:pos="0"/>
      </w:tabs>
    </w:pPr>
    <w:rPr>
      <w:szCs w:val="16"/>
    </w:rPr>
  </w:style>
  <w:style w:type="character" w:customStyle="1" w:styleId="35">
    <w:name w:val="本文 3 (文字)"/>
    <w:basedOn w:val="a4"/>
    <w:link w:val="30"/>
    <w:uiPriority w:val="99"/>
    <w:semiHidden/>
    <w:rsid w:val="00B1230C"/>
    <w:rPr>
      <w:rFonts w:ascii="Times New Roman" w:eastAsia="Times New Roman" w:hAnsi="Times New Roman" w:cs="Times New Roman"/>
      <w:color w:val="000000" w:themeColor="text1"/>
      <w:kern w:val="0"/>
      <w:sz w:val="21"/>
      <w:szCs w:val="16"/>
      <w:lang w:val="en-AU" w:eastAsia="en-AU"/>
      <w14:ligatures w14:val="none"/>
    </w:rPr>
  </w:style>
  <w:style w:type="paragraph" w:styleId="a">
    <w:name w:val="List Paragraph"/>
    <w:aliases w:val="UTS Para,OBC Bullet,F5 List Paragraph,Colorful List - Accent 11,Normal numbered,Bullet 1,Bullet Style,Dot pt,No Spacing1,Indicator Text,Numbered Para 1,List Paragraph1,Bullet Points,MAIN CONTENT,List Paragraph12,L,Recommendation,Body text"/>
    <w:basedOn w:val="a3"/>
    <w:link w:val="af3"/>
    <w:uiPriority w:val="34"/>
    <w:qFormat/>
    <w:rsid w:val="00B1230C"/>
    <w:pPr>
      <w:numPr>
        <w:numId w:val="9"/>
      </w:numPr>
      <w:spacing w:after="240" w:line="276" w:lineRule="auto"/>
      <w:contextualSpacing/>
      <w:jc w:val="left"/>
    </w:pPr>
  </w:style>
  <w:style w:type="paragraph" w:styleId="42">
    <w:name w:val="toc 4"/>
    <w:basedOn w:val="11"/>
    <w:next w:val="a2"/>
    <w:uiPriority w:val="39"/>
    <w:rsid w:val="00B1230C"/>
    <w:pPr>
      <w:spacing w:before="0" w:after="0"/>
      <w:ind w:left="660"/>
    </w:pPr>
    <w:rPr>
      <w:b w:val="0"/>
      <w:bCs w:val="0"/>
    </w:rPr>
  </w:style>
  <w:style w:type="paragraph" w:customStyle="1" w:styleId="NbrHeading5">
    <w:name w:val="Nbr Heading 5"/>
    <w:basedOn w:val="50"/>
    <w:next w:val="a3"/>
    <w:semiHidden/>
    <w:qFormat/>
    <w:rsid w:val="00B1230C"/>
    <w:pPr>
      <w:numPr>
        <w:ilvl w:val="4"/>
        <w:numId w:val="20"/>
      </w:numPr>
    </w:pPr>
  </w:style>
  <w:style w:type="table" w:customStyle="1" w:styleId="ShadedRedTable">
    <w:name w:val="Shaded Red Table"/>
    <w:basedOn w:val="ShadedBlueTable"/>
    <w:uiPriority w:val="99"/>
    <w:rsid w:val="00B1230C"/>
    <w:tblPr/>
    <w:tcPr>
      <w:shd w:val="clear" w:color="auto" w:fill="FFF1EF"/>
    </w:tcPr>
    <w:tblStylePr w:type="firstRow">
      <w:rPr>
        <w:color w:val="FFFFFF" w:themeColor="background1"/>
      </w:rPr>
      <w:tblPr/>
      <w:tcPr>
        <w:tcBorders>
          <w:top w:val="single" w:sz="36" w:space="0" w:color="000000" w:themeColor="text1"/>
        </w:tcBorders>
        <w:shd w:val="clear" w:color="auto" w:fill="E97132" w:themeFill="accent2"/>
      </w:tcPr>
    </w:tblStylePr>
    <w:tblStylePr w:type="lastRow">
      <w:rPr>
        <w:b/>
      </w:rPr>
      <w:tblPr/>
      <w:tcPr>
        <w:shd w:val="clear" w:color="auto" w:fill="FAE2D5" w:themeFill="accent2" w:themeFillTint="33"/>
      </w:tcPr>
    </w:tblStylePr>
    <w:tblStylePr w:type="firstCol">
      <w:rPr>
        <w:color w:val="FFFFFF" w:themeColor="background1"/>
      </w:rPr>
      <w:tblPr/>
      <w:tcPr>
        <w:shd w:val="clear" w:color="auto" w:fill="E97132" w:themeFill="accent2"/>
      </w:tcPr>
    </w:tblStylePr>
    <w:tblStylePr w:type="lastCol">
      <w:tblPr/>
      <w:tcPr>
        <w:shd w:val="clear" w:color="auto" w:fill="FAE2D5" w:themeFill="accent2" w:themeFillTint="33"/>
      </w:tcPr>
    </w:tblStylePr>
    <w:tblStylePr w:type="band2Vert">
      <w:tblPr/>
      <w:tcPr>
        <w:shd w:val="clear" w:color="auto" w:fill="FAE2D5" w:themeFill="accent2" w:themeFillTint="33"/>
      </w:tcPr>
    </w:tblStylePr>
    <w:tblStylePr w:type="band2Horz">
      <w:tblPr/>
      <w:tcPr>
        <w:shd w:val="clear" w:color="auto" w:fill="FAE2D5" w:themeFill="accent2" w:themeFillTint="33"/>
      </w:tcPr>
    </w:tblStylePr>
  </w:style>
  <w:style w:type="table" w:customStyle="1" w:styleId="ShadedBlackTable">
    <w:name w:val="Shaded Black Table"/>
    <w:basedOn w:val="ShadedRedTable"/>
    <w:uiPriority w:val="99"/>
    <w:rsid w:val="00B1230C"/>
    <w:tblPr/>
    <w:tcPr>
      <w:shd w:val="clear" w:color="auto" w:fill="E8E8E8" w:themeFill="background2"/>
    </w:tcPr>
    <w:tblStylePr w:type="firstRow">
      <w:rPr>
        <w:color w:val="FFFFFF" w:themeColor="background1"/>
      </w:rPr>
      <w:tblPr/>
      <w:tcPr>
        <w:tcBorders>
          <w:top w:val="single" w:sz="36" w:space="0" w:color="156082" w:themeColor="accent1"/>
        </w:tcBorders>
        <w:shd w:val="clear" w:color="auto" w:fill="000000" w:themeFill="text1"/>
      </w:tcPr>
    </w:tblStylePr>
    <w:tblStylePr w:type="lastRow">
      <w:rPr>
        <w:b/>
      </w:rPr>
      <w:tblPr/>
      <w:tcPr>
        <w:shd w:val="clear" w:color="auto" w:fill="D1D1D1" w:themeFill="background2" w:themeFillShade="E6"/>
      </w:tcPr>
    </w:tblStylePr>
    <w:tblStylePr w:type="firstCol">
      <w:rPr>
        <w:color w:val="FFFFFF" w:themeColor="background1"/>
      </w:rPr>
      <w:tblPr/>
      <w:tcPr>
        <w:shd w:val="clear" w:color="auto" w:fill="000000" w:themeFill="text1"/>
      </w:tcPr>
    </w:tblStylePr>
    <w:tblStylePr w:type="lastCol">
      <w:tblPr/>
      <w:tcPr>
        <w:shd w:val="clear" w:color="auto" w:fill="D1D1D1" w:themeFill="background2" w:themeFillShade="E6"/>
      </w:tcPr>
    </w:tblStylePr>
    <w:tblStylePr w:type="band2Vert">
      <w:tblPr/>
      <w:tcPr>
        <w:shd w:val="clear" w:color="auto" w:fill="D1D1D1" w:themeFill="background2" w:themeFillShade="E6"/>
      </w:tcPr>
    </w:tblStylePr>
    <w:tblStylePr w:type="band2Horz">
      <w:tblPr/>
      <w:tcPr>
        <w:shd w:val="clear" w:color="auto" w:fill="D1D1D1" w:themeFill="background2" w:themeFillShade="E6"/>
      </w:tcPr>
    </w:tblStylePr>
  </w:style>
  <w:style w:type="paragraph" w:styleId="af4">
    <w:name w:val="Balloon Text"/>
    <w:basedOn w:val="a2"/>
    <w:link w:val="af5"/>
    <w:uiPriority w:val="99"/>
    <w:semiHidden/>
    <w:rsid w:val="00B1230C"/>
    <w:rPr>
      <w:rFonts w:ascii="Tahoma" w:hAnsi="Tahoma" w:cs="Tahoma"/>
      <w:sz w:val="16"/>
      <w:szCs w:val="16"/>
    </w:rPr>
  </w:style>
  <w:style w:type="character" w:customStyle="1" w:styleId="af5">
    <w:name w:val="吹き出し (文字)"/>
    <w:basedOn w:val="a4"/>
    <w:link w:val="af4"/>
    <w:uiPriority w:val="99"/>
    <w:semiHidden/>
    <w:rsid w:val="00B1230C"/>
    <w:rPr>
      <w:rFonts w:ascii="Tahoma" w:hAnsi="Tahoma" w:cs="Tahoma"/>
      <w:kern w:val="0"/>
      <w:sz w:val="16"/>
      <w:szCs w:val="16"/>
      <w:lang w:val="en-AU" w:eastAsia="en-AU"/>
      <w14:ligatures w14:val="none"/>
    </w:rPr>
  </w:style>
  <w:style w:type="paragraph" w:styleId="af6">
    <w:name w:val="Quote"/>
    <w:basedOn w:val="a2"/>
    <w:next w:val="a2"/>
    <w:link w:val="af7"/>
    <w:uiPriority w:val="99"/>
    <w:qFormat/>
    <w:rsid w:val="00B1230C"/>
    <w:pPr>
      <w:spacing w:before="180" w:after="180"/>
      <w:ind w:left="567" w:right="567"/>
      <w:jc w:val="center"/>
    </w:pPr>
    <w:rPr>
      <w:i/>
      <w:iCs/>
      <w:color w:val="000000" w:themeColor="text1"/>
    </w:rPr>
  </w:style>
  <w:style w:type="character" w:customStyle="1" w:styleId="af7">
    <w:name w:val="引用文 (文字)"/>
    <w:basedOn w:val="a4"/>
    <w:link w:val="af6"/>
    <w:uiPriority w:val="99"/>
    <w:rsid w:val="00B1230C"/>
    <w:rPr>
      <w:rFonts w:ascii="Calibri Light" w:hAnsi="Calibri Light"/>
      <w:i/>
      <w:iCs/>
      <w:color w:val="000000" w:themeColor="text1"/>
      <w:kern w:val="0"/>
      <w:szCs w:val="22"/>
      <w:lang w:val="en-AU" w:eastAsia="en-AU"/>
      <w14:ligatures w14:val="none"/>
    </w:rPr>
  </w:style>
  <w:style w:type="paragraph" w:customStyle="1" w:styleId="FigureCaption">
    <w:name w:val="Figure Caption"/>
    <w:basedOn w:val="a2"/>
    <w:next w:val="a3"/>
    <w:uiPriority w:val="6"/>
    <w:qFormat/>
    <w:rsid w:val="00B1230C"/>
    <w:pPr>
      <w:tabs>
        <w:tab w:val="left" w:pos="1134"/>
      </w:tabs>
      <w:spacing w:before="120"/>
      <w:ind w:left="1134" w:hanging="1134"/>
      <w:jc w:val="center"/>
    </w:pPr>
    <w:rPr>
      <w:b/>
    </w:rPr>
  </w:style>
  <w:style w:type="paragraph" w:customStyle="1" w:styleId="TableCaption">
    <w:name w:val="Table Caption"/>
    <w:basedOn w:val="af8"/>
    <w:uiPriority w:val="6"/>
    <w:qFormat/>
    <w:rsid w:val="00B1230C"/>
  </w:style>
  <w:style w:type="paragraph" w:customStyle="1" w:styleId="FigureStyle">
    <w:name w:val="Figure Style"/>
    <w:basedOn w:val="a3"/>
    <w:uiPriority w:val="6"/>
    <w:qFormat/>
    <w:rsid w:val="00B1230C"/>
    <w:pPr>
      <w:keepNext/>
      <w:spacing w:before="240"/>
    </w:pPr>
  </w:style>
  <w:style w:type="paragraph" w:styleId="52">
    <w:name w:val="toc 5"/>
    <w:basedOn w:val="24"/>
    <w:next w:val="a2"/>
    <w:uiPriority w:val="39"/>
    <w:rsid w:val="00B1230C"/>
    <w:pPr>
      <w:spacing w:before="0"/>
      <w:ind w:left="880"/>
    </w:pPr>
    <w:rPr>
      <w:i/>
      <w:iCs w:val="0"/>
    </w:rPr>
  </w:style>
  <w:style w:type="paragraph" w:styleId="61">
    <w:name w:val="toc 6"/>
    <w:basedOn w:val="34"/>
    <w:next w:val="a2"/>
    <w:uiPriority w:val="39"/>
    <w:rsid w:val="00B1230C"/>
    <w:pPr>
      <w:ind w:left="1100"/>
    </w:pPr>
  </w:style>
  <w:style w:type="paragraph" w:styleId="7">
    <w:name w:val="toc 7"/>
    <w:basedOn w:val="24"/>
    <w:next w:val="a2"/>
    <w:uiPriority w:val="39"/>
    <w:rsid w:val="00B1230C"/>
    <w:pPr>
      <w:spacing w:before="0"/>
      <w:ind w:left="1320"/>
    </w:pPr>
    <w:rPr>
      <w:i/>
      <w:iCs w:val="0"/>
    </w:rPr>
  </w:style>
  <w:style w:type="paragraph" w:styleId="8">
    <w:name w:val="toc 8"/>
    <w:basedOn w:val="a2"/>
    <w:next w:val="a2"/>
    <w:uiPriority w:val="39"/>
    <w:rsid w:val="00B1230C"/>
    <w:pPr>
      <w:spacing w:after="0"/>
      <w:ind w:left="1540"/>
    </w:pPr>
    <w:rPr>
      <w:rFonts w:asciiTheme="minorHAnsi" w:hAnsiTheme="minorHAnsi" w:cstheme="minorHAnsi"/>
      <w:sz w:val="20"/>
      <w:szCs w:val="24"/>
    </w:rPr>
  </w:style>
  <w:style w:type="paragraph" w:styleId="9">
    <w:name w:val="toc 9"/>
    <w:basedOn w:val="a2"/>
    <w:next w:val="a2"/>
    <w:uiPriority w:val="39"/>
    <w:semiHidden/>
    <w:rsid w:val="00B1230C"/>
    <w:pPr>
      <w:spacing w:after="0"/>
      <w:ind w:left="1760"/>
    </w:pPr>
    <w:rPr>
      <w:rFonts w:asciiTheme="minorHAnsi" w:hAnsiTheme="minorHAnsi" w:cstheme="minorHAnsi"/>
      <w:sz w:val="20"/>
      <w:szCs w:val="24"/>
    </w:rPr>
  </w:style>
  <w:style w:type="numbering" w:customStyle="1" w:styleId="ListNumber">
    <w:name w:val="List_Number"/>
    <w:uiPriority w:val="99"/>
    <w:rsid w:val="00B1230C"/>
    <w:pPr>
      <w:numPr>
        <w:numId w:val="3"/>
      </w:numPr>
    </w:pPr>
  </w:style>
  <w:style w:type="numbering" w:customStyle="1" w:styleId="ListParagraph0">
    <w:name w:val="List Paragraph0"/>
    <w:uiPriority w:val="99"/>
    <w:rsid w:val="00B1230C"/>
    <w:pPr>
      <w:numPr>
        <w:numId w:val="5"/>
      </w:numPr>
    </w:pPr>
  </w:style>
  <w:style w:type="paragraph" w:styleId="af8">
    <w:name w:val="caption"/>
    <w:basedOn w:val="a2"/>
    <w:next w:val="a2"/>
    <w:autoRedefine/>
    <w:uiPriority w:val="35"/>
    <w:qFormat/>
    <w:rsid w:val="00B1230C"/>
    <w:pPr>
      <w:keepNext/>
      <w:keepLines/>
      <w:tabs>
        <w:tab w:val="left" w:pos="1134"/>
      </w:tabs>
      <w:spacing w:before="240" w:after="120"/>
    </w:pPr>
    <w:rPr>
      <w:rFonts w:ascii="Calibri" w:hAnsi="Calibri" w:cs="Calibri"/>
      <w:b/>
      <w:bCs/>
      <w:sz w:val="20"/>
    </w:rPr>
  </w:style>
  <w:style w:type="paragraph" w:customStyle="1" w:styleId="ListAlpha0">
    <w:name w:val="List Alpha"/>
    <w:aliases w:val="UTS Alpha"/>
    <w:basedOn w:val="a3"/>
    <w:uiPriority w:val="1"/>
    <w:qFormat/>
    <w:rsid w:val="00B1230C"/>
    <w:pPr>
      <w:numPr>
        <w:numId w:val="8"/>
      </w:numPr>
    </w:pPr>
  </w:style>
  <w:style w:type="numbering" w:customStyle="1" w:styleId="ListAlpha">
    <w:name w:val="List_Alpha"/>
    <w:uiPriority w:val="99"/>
    <w:rsid w:val="00B1230C"/>
    <w:pPr>
      <w:numPr>
        <w:numId w:val="1"/>
      </w:numPr>
    </w:pPr>
  </w:style>
  <w:style w:type="paragraph" w:styleId="af9">
    <w:name w:val="table of authorities"/>
    <w:basedOn w:val="a2"/>
    <w:next w:val="a2"/>
    <w:uiPriority w:val="99"/>
    <w:semiHidden/>
    <w:rsid w:val="00B1230C"/>
    <w:pPr>
      <w:ind w:left="200" w:hanging="200"/>
    </w:pPr>
  </w:style>
  <w:style w:type="paragraph" w:styleId="afa">
    <w:name w:val="table of figures"/>
    <w:basedOn w:val="34"/>
    <w:next w:val="a2"/>
    <w:uiPriority w:val="99"/>
    <w:rsid w:val="00B1230C"/>
    <w:pPr>
      <w:spacing w:after="60"/>
      <w:ind w:left="0"/>
    </w:pPr>
  </w:style>
  <w:style w:type="table" w:customStyle="1" w:styleId="LinedBlueTable">
    <w:name w:val="Lined Blue Table"/>
    <w:basedOn w:val="a5"/>
    <w:uiPriority w:val="99"/>
    <w:rsid w:val="00B1230C"/>
    <w:pPr>
      <w:spacing w:after="0" w:line="240" w:lineRule="auto"/>
      <w:ind w:left="113" w:right="113"/>
    </w:pPr>
    <w:rPr>
      <w:kern w:val="0"/>
      <w:szCs w:val="22"/>
      <w:lang w:val="en-AU" w:eastAsia="en-US"/>
      <w14:ligatures w14:val="none"/>
    </w:rPr>
    <w:tblPr>
      <w:tblStyleRowBandSize w:val="1"/>
      <w:tblStyleColBandSize w:val="1"/>
      <w:tblBorders>
        <w:top w:val="single" w:sz="18" w:space="0" w:color="C1E4F5" w:themeColor="accent1" w:themeTint="33"/>
        <w:bottom w:val="single" w:sz="18" w:space="0" w:color="C1E4F5" w:themeColor="accent1" w:themeTint="33"/>
        <w:insideH w:val="single" w:sz="18" w:space="0" w:color="C1E4F5" w:themeColor="accent1" w:themeTint="33"/>
      </w:tblBorders>
      <w:tblCellMar>
        <w:left w:w="0" w:type="dxa"/>
        <w:right w:w="0" w:type="dxa"/>
      </w:tblCellMar>
    </w:tblPr>
    <w:trPr>
      <w:cantSplit/>
    </w:trPr>
    <w:tcPr>
      <w:shd w:val="clear" w:color="auto" w:fill="auto"/>
    </w:tcPr>
    <w:tblStylePr w:type="firstRow">
      <w:rPr>
        <w:color w:val="FFFFFF" w:themeColor="background1"/>
      </w:rPr>
      <w:tblPr/>
      <w:tcPr>
        <w:tcBorders>
          <w:top w:val="single" w:sz="18" w:space="0" w:color="E8EEFD"/>
          <w:left w:val="nil"/>
          <w:bottom w:val="nil"/>
          <w:right w:val="nil"/>
          <w:insideH w:val="nil"/>
          <w:insideV w:val="nil"/>
          <w:tl2br w:val="nil"/>
          <w:tr2bl w:val="nil"/>
        </w:tcBorders>
        <w:shd w:val="clear" w:color="auto" w:fill="156082" w:themeFill="accent1"/>
      </w:tcPr>
    </w:tblStylePr>
    <w:tblStylePr w:type="lastRow">
      <w:rPr>
        <w:b/>
      </w:rPr>
      <w:tblPr/>
      <w:tcPr>
        <w:shd w:val="clear" w:color="auto" w:fill="ECF1FE"/>
      </w:tcPr>
    </w:tblStylePr>
    <w:tblStylePr w:type="firstCol">
      <w:rPr>
        <w:color w:val="FFFFFF" w:themeColor="background1"/>
      </w:rPr>
      <w:tblPr/>
      <w:tcPr>
        <w:tcBorders>
          <w:top w:val="nil"/>
          <w:left w:val="nil"/>
          <w:bottom w:val="single" w:sz="18" w:space="0" w:color="C1E4F5" w:themeColor="accent1" w:themeTint="33"/>
          <w:right w:val="nil"/>
          <w:insideH w:val="single" w:sz="18" w:space="0" w:color="C1E4F5" w:themeColor="accent1" w:themeTint="33"/>
          <w:insideV w:val="nil"/>
        </w:tcBorders>
        <w:shd w:val="clear" w:color="auto" w:fill="156082" w:themeFill="accent1"/>
      </w:tcPr>
    </w:tblStylePr>
    <w:tblStylePr w:type="lastCol">
      <w:tblPr/>
      <w:tcPr>
        <w:shd w:val="clear" w:color="auto" w:fill="ECF1FE"/>
      </w:tcPr>
    </w:tblStylePr>
    <w:tblStylePr w:type="band2Vert">
      <w:tblPr/>
      <w:tcPr>
        <w:shd w:val="clear" w:color="auto" w:fill="ECF1FE"/>
      </w:tcPr>
    </w:tblStylePr>
    <w:tblStylePr w:type="band2Horz">
      <w:tblPr/>
      <w:tcPr>
        <w:shd w:val="clear" w:color="auto" w:fill="ECF1FE"/>
      </w:tcPr>
    </w:tblStylePr>
  </w:style>
  <w:style w:type="table" w:customStyle="1" w:styleId="ShadedBlueTable">
    <w:name w:val="Shaded Blue Table"/>
    <w:basedOn w:val="a5"/>
    <w:uiPriority w:val="99"/>
    <w:rsid w:val="00B1230C"/>
    <w:pPr>
      <w:spacing w:after="0" w:line="240" w:lineRule="auto"/>
      <w:ind w:left="113" w:right="113"/>
    </w:pPr>
    <w:rPr>
      <w:kern w:val="0"/>
      <w:szCs w:val="22"/>
      <w:lang w:val="en-AU" w:eastAsia="en-US"/>
      <w14:ligatures w14:val="none"/>
    </w:rPr>
    <w:tblPr>
      <w:tblStyleRowBandSize w:val="1"/>
      <w:tblStyleColBandSize w:val="1"/>
      <w:tblBorders>
        <w:insideH w:val="single" w:sz="6" w:space="0" w:color="FFFFFF" w:themeColor="background1"/>
        <w:insideV w:val="single" w:sz="6" w:space="0" w:color="FFFFFF" w:themeColor="background1"/>
      </w:tblBorders>
      <w:tblCellMar>
        <w:left w:w="0" w:type="dxa"/>
        <w:right w:w="0" w:type="dxa"/>
      </w:tblCellMar>
    </w:tblPr>
    <w:trPr>
      <w:cantSplit/>
    </w:trPr>
    <w:tcPr>
      <w:shd w:val="clear" w:color="auto" w:fill="E8EEFD"/>
    </w:tcPr>
    <w:tblStylePr w:type="firstRow">
      <w:rPr>
        <w:color w:val="FFFFFF" w:themeColor="background1"/>
      </w:rPr>
      <w:tblPr/>
      <w:tcPr>
        <w:tcBorders>
          <w:top w:val="single" w:sz="36" w:space="0" w:color="auto"/>
        </w:tcBorders>
        <w:shd w:val="clear" w:color="auto" w:fill="156082" w:themeFill="accent1"/>
      </w:tcPr>
    </w:tblStylePr>
    <w:tblStylePr w:type="lastRow">
      <w:rPr>
        <w:b/>
      </w:rPr>
      <w:tblPr/>
      <w:tcPr>
        <w:shd w:val="clear" w:color="auto" w:fill="C1E4F5" w:themeFill="accent1" w:themeFillTint="33"/>
      </w:tcPr>
    </w:tblStylePr>
    <w:tblStylePr w:type="firstCol">
      <w:rPr>
        <w:color w:val="FFFFFF" w:themeColor="background1"/>
      </w:rPr>
      <w:tblPr/>
      <w:tcPr>
        <w:shd w:val="clear" w:color="auto" w:fill="156082" w:themeFill="accent1"/>
      </w:tcPr>
    </w:tblStylePr>
    <w:tblStylePr w:type="lastCol">
      <w:tblPr/>
      <w:tcPr>
        <w:shd w:val="clear" w:color="auto" w:fill="C1E4F5" w:themeFill="accent1" w:themeFillTint="33"/>
      </w:tcPr>
    </w:tblStylePr>
    <w:tblStylePr w:type="band2Vert">
      <w:tblPr/>
      <w:tcPr>
        <w:shd w:val="clear" w:color="auto" w:fill="C1E4F5" w:themeFill="accent1" w:themeFillTint="33"/>
      </w:tcPr>
    </w:tblStylePr>
    <w:tblStylePr w:type="band2Horz">
      <w:tblPr/>
      <w:tcPr>
        <w:shd w:val="clear" w:color="auto" w:fill="C1E4F5" w:themeFill="accent1" w:themeFillTint="33"/>
      </w:tcPr>
    </w:tblStylePr>
  </w:style>
  <w:style w:type="character" w:styleId="afb">
    <w:name w:val="FollowedHyperlink"/>
    <w:basedOn w:val="a4"/>
    <w:uiPriority w:val="15"/>
    <w:rsid w:val="00B1230C"/>
    <w:rPr>
      <w:color w:val="156082" w:themeColor="accent1"/>
      <w:u w:val="single"/>
    </w:rPr>
  </w:style>
  <w:style w:type="paragraph" w:customStyle="1" w:styleId="AppendixH1">
    <w:name w:val="Appendix H1"/>
    <w:basedOn w:val="a2"/>
    <w:next w:val="a3"/>
    <w:uiPriority w:val="11"/>
    <w:semiHidden/>
    <w:qFormat/>
    <w:rsid w:val="00B1230C"/>
    <w:pPr>
      <w:pageBreakBefore/>
      <w:tabs>
        <w:tab w:val="left" w:pos="567"/>
      </w:tabs>
      <w:spacing w:before="60" w:after="320"/>
      <w:outlineLvl w:val="0"/>
    </w:pPr>
    <w:rPr>
      <w:rFonts w:eastAsia="Times New Roman" w:cs="Times New Roman"/>
      <w:b/>
      <w:sz w:val="36"/>
      <w:szCs w:val="24"/>
    </w:rPr>
  </w:style>
  <w:style w:type="paragraph" w:customStyle="1" w:styleId="AppendixH2">
    <w:name w:val="Appendix H2"/>
    <w:basedOn w:val="21"/>
    <w:next w:val="a3"/>
    <w:uiPriority w:val="11"/>
    <w:semiHidden/>
    <w:qFormat/>
    <w:rsid w:val="00B1230C"/>
    <w:pPr>
      <w:tabs>
        <w:tab w:val="left" w:pos="851"/>
      </w:tabs>
    </w:pPr>
    <w:rPr>
      <w:iCs w:val="0"/>
    </w:rPr>
  </w:style>
  <w:style w:type="paragraph" w:customStyle="1" w:styleId="AppendixH3">
    <w:name w:val="Appendix H3"/>
    <w:basedOn w:val="32"/>
    <w:next w:val="a3"/>
    <w:uiPriority w:val="11"/>
    <w:semiHidden/>
    <w:qFormat/>
    <w:rsid w:val="00B1230C"/>
    <w:pPr>
      <w:tabs>
        <w:tab w:val="left" w:pos="851"/>
      </w:tabs>
    </w:pPr>
  </w:style>
  <w:style w:type="paragraph" w:customStyle="1" w:styleId="ListAlpha2">
    <w:name w:val="List Alpha 2"/>
    <w:basedOn w:val="ListAlpha0"/>
    <w:uiPriority w:val="19"/>
    <w:rsid w:val="00B1230C"/>
    <w:pPr>
      <w:numPr>
        <w:ilvl w:val="1"/>
      </w:numPr>
    </w:pPr>
  </w:style>
  <w:style w:type="paragraph" w:customStyle="1" w:styleId="ListAlpha3">
    <w:name w:val="List Alpha 3"/>
    <w:basedOn w:val="ListAlpha2"/>
    <w:uiPriority w:val="19"/>
    <w:rsid w:val="00B1230C"/>
    <w:pPr>
      <w:numPr>
        <w:ilvl w:val="2"/>
      </w:numPr>
    </w:pPr>
  </w:style>
  <w:style w:type="paragraph" w:customStyle="1" w:styleId="ListAlpha4">
    <w:name w:val="List Alpha 4"/>
    <w:basedOn w:val="ListAlpha3"/>
    <w:uiPriority w:val="19"/>
    <w:rsid w:val="00B1230C"/>
    <w:pPr>
      <w:numPr>
        <w:ilvl w:val="3"/>
      </w:numPr>
    </w:pPr>
  </w:style>
  <w:style w:type="paragraph" w:customStyle="1" w:styleId="ListAlpha6">
    <w:name w:val="List Alpha 6"/>
    <w:basedOn w:val="ListAlpha4"/>
    <w:uiPriority w:val="19"/>
    <w:rsid w:val="00B1230C"/>
    <w:pPr>
      <w:numPr>
        <w:ilvl w:val="5"/>
      </w:numPr>
    </w:pPr>
  </w:style>
  <w:style w:type="paragraph" w:customStyle="1" w:styleId="ListAlpha5">
    <w:name w:val="List Alpha 5"/>
    <w:basedOn w:val="ListAlpha6"/>
    <w:uiPriority w:val="19"/>
    <w:rsid w:val="00B1230C"/>
    <w:pPr>
      <w:numPr>
        <w:ilvl w:val="4"/>
      </w:numPr>
    </w:pPr>
  </w:style>
  <w:style w:type="paragraph" w:styleId="25">
    <w:name w:val="List Bullet 2"/>
    <w:basedOn w:val="a1"/>
    <w:uiPriority w:val="19"/>
    <w:rsid w:val="00B1230C"/>
  </w:style>
  <w:style w:type="paragraph" w:styleId="31">
    <w:name w:val="List Bullet 3"/>
    <w:basedOn w:val="a1"/>
    <w:uiPriority w:val="19"/>
    <w:rsid w:val="00B1230C"/>
    <w:pPr>
      <w:numPr>
        <w:ilvl w:val="2"/>
      </w:numPr>
    </w:pPr>
  </w:style>
  <w:style w:type="paragraph" w:styleId="43">
    <w:name w:val="List Bullet 4"/>
    <w:basedOn w:val="a1"/>
    <w:uiPriority w:val="19"/>
    <w:rsid w:val="00B1230C"/>
    <w:pPr>
      <w:numPr>
        <w:ilvl w:val="0"/>
        <w:numId w:val="0"/>
      </w:numPr>
      <w:ind w:left="1440" w:hanging="360"/>
    </w:pPr>
  </w:style>
  <w:style w:type="paragraph" w:styleId="53">
    <w:name w:val="List Bullet 5"/>
    <w:basedOn w:val="a1"/>
    <w:uiPriority w:val="19"/>
    <w:rsid w:val="00B1230C"/>
    <w:pPr>
      <w:numPr>
        <w:ilvl w:val="0"/>
        <w:numId w:val="0"/>
      </w:numPr>
      <w:ind w:left="1800" w:hanging="360"/>
    </w:pPr>
  </w:style>
  <w:style w:type="paragraph" w:customStyle="1" w:styleId="ListBullet6">
    <w:name w:val="List Bullet 6"/>
    <w:basedOn w:val="a1"/>
    <w:uiPriority w:val="19"/>
    <w:rsid w:val="00B1230C"/>
    <w:pPr>
      <w:numPr>
        <w:ilvl w:val="0"/>
        <w:numId w:val="0"/>
      </w:numPr>
      <w:ind w:left="2160" w:hanging="360"/>
    </w:pPr>
  </w:style>
  <w:style w:type="paragraph" w:styleId="2">
    <w:name w:val="List Number 2"/>
    <w:basedOn w:val="a0"/>
    <w:uiPriority w:val="19"/>
    <w:rsid w:val="00B1230C"/>
    <w:pPr>
      <w:numPr>
        <w:ilvl w:val="1"/>
      </w:numPr>
    </w:pPr>
  </w:style>
  <w:style w:type="paragraph" w:styleId="3">
    <w:name w:val="List Number 3"/>
    <w:basedOn w:val="a0"/>
    <w:uiPriority w:val="19"/>
    <w:rsid w:val="00B1230C"/>
    <w:pPr>
      <w:numPr>
        <w:ilvl w:val="2"/>
      </w:numPr>
    </w:pPr>
  </w:style>
  <w:style w:type="paragraph" w:styleId="4">
    <w:name w:val="List Number 4"/>
    <w:basedOn w:val="a0"/>
    <w:uiPriority w:val="19"/>
    <w:rsid w:val="00B1230C"/>
    <w:pPr>
      <w:numPr>
        <w:ilvl w:val="3"/>
      </w:numPr>
    </w:pPr>
  </w:style>
  <w:style w:type="paragraph" w:styleId="5">
    <w:name w:val="List Number 5"/>
    <w:basedOn w:val="a0"/>
    <w:uiPriority w:val="19"/>
    <w:rsid w:val="00B1230C"/>
    <w:pPr>
      <w:numPr>
        <w:ilvl w:val="4"/>
      </w:numPr>
    </w:pPr>
  </w:style>
  <w:style w:type="paragraph" w:customStyle="1" w:styleId="ListNumber6">
    <w:name w:val="List Number 6"/>
    <w:basedOn w:val="a0"/>
    <w:uiPriority w:val="19"/>
    <w:rsid w:val="00B1230C"/>
    <w:pPr>
      <w:numPr>
        <w:ilvl w:val="5"/>
      </w:numPr>
    </w:pPr>
  </w:style>
  <w:style w:type="paragraph" w:customStyle="1" w:styleId="ListParagraph2">
    <w:name w:val="List Paragraph 2"/>
    <w:basedOn w:val="a"/>
    <w:uiPriority w:val="19"/>
    <w:rsid w:val="00B1230C"/>
    <w:pPr>
      <w:numPr>
        <w:ilvl w:val="1"/>
      </w:numPr>
      <w:tabs>
        <w:tab w:val="num" w:pos="360"/>
      </w:tabs>
    </w:pPr>
  </w:style>
  <w:style w:type="paragraph" w:customStyle="1" w:styleId="ListParagraph3">
    <w:name w:val="List Paragraph 3"/>
    <w:basedOn w:val="a"/>
    <w:uiPriority w:val="19"/>
    <w:rsid w:val="00B1230C"/>
    <w:pPr>
      <w:numPr>
        <w:ilvl w:val="2"/>
      </w:numPr>
      <w:tabs>
        <w:tab w:val="num" w:pos="360"/>
      </w:tabs>
    </w:pPr>
  </w:style>
  <w:style w:type="paragraph" w:customStyle="1" w:styleId="ListParagraph4">
    <w:name w:val="List Paragraph 4"/>
    <w:basedOn w:val="a"/>
    <w:uiPriority w:val="19"/>
    <w:rsid w:val="00B1230C"/>
    <w:pPr>
      <w:numPr>
        <w:ilvl w:val="3"/>
      </w:numPr>
      <w:tabs>
        <w:tab w:val="num" w:pos="360"/>
      </w:tabs>
    </w:pPr>
  </w:style>
  <w:style w:type="paragraph" w:customStyle="1" w:styleId="ListParagraph5">
    <w:name w:val="List Paragraph 5"/>
    <w:basedOn w:val="a"/>
    <w:uiPriority w:val="19"/>
    <w:rsid w:val="00B1230C"/>
    <w:pPr>
      <w:numPr>
        <w:ilvl w:val="4"/>
      </w:numPr>
      <w:tabs>
        <w:tab w:val="num" w:pos="360"/>
      </w:tabs>
    </w:pPr>
  </w:style>
  <w:style w:type="paragraph" w:customStyle="1" w:styleId="ListParagraph6">
    <w:name w:val="List Paragraph 6"/>
    <w:basedOn w:val="a"/>
    <w:uiPriority w:val="19"/>
    <w:rsid w:val="00B1230C"/>
    <w:pPr>
      <w:numPr>
        <w:ilvl w:val="5"/>
      </w:numPr>
      <w:tabs>
        <w:tab w:val="num" w:pos="360"/>
      </w:tabs>
    </w:pPr>
  </w:style>
  <w:style w:type="numbering" w:customStyle="1" w:styleId="ListBullet">
    <w:name w:val="List_Bullet"/>
    <w:uiPriority w:val="99"/>
    <w:rsid w:val="00B1230C"/>
    <w:pPr>
      <w:numPr>
        <w:numId w:val="2"/>
      </w:numPr>
    </w:pPr>
  </w:style>
  <w:style w:type="numbering" w:customStyle="1" w:styleId="ListNumberedHeadings">
    <w:name w:val="List_NumberedHeadings"/>
    <w:uiPriority w:val="99"/>
    <w:rsid w:val="00B1230C"/>
    <w:pPr>
      <w:numPr>
        <w:numId w:val="4"/>
      </w:numPr>
    </w:pPr>
  </w:style>
  <w:style w:type="numbering" w:customStyle="1" w:styleId="ListTableBullet">
    <w:name w:val="List_TableBullet"/>
    <w:uiPriority w:val="99"/>
    <w:rsid w:val="00B1230C"/>
    <w:pPr>
      <w:numPr>
        <w:numId w:val="6"/>
      </w:numPr>
    </w:pPr>
  </w:style>
  <w:style w:type="numbering" w:customStyle="1" w:styleId="ListTableNumber">
    <w:name w:val="List_TableNumber"/>
    <w:uiPriority w:val="99"/>
    <w:rsid w:val="00B1230C"/>
    <w:pPr>
      <w:numPr>
        <w:numId w:val="7"/>
      </w:numPr>
    </w:pPr>
  </w:style>
  <w:style w:type="paragraph" w:customStyle="1" w:styleId="TableBullet2">
    <w:name w:val="Table Bullet 2"/>
    <w:basedOn w:val="TableBullet"/>
    <w:uiPriority w:val="19"/>
    <w:rsid w:val="00B1230C"/>
    <w:pPr>
      <w:numPr>
        <w:ilvl w:val="0"/>
        <w:numId w:val="0"/>
      </w:numPr>
    </w:pPr>
  </w:style>
  <w:style w:type="paragraph" w:customStyle="1" w:styleId="TableNumber2">
    <w:name w:val="Table Number 2"/>
    <w:basedOn w:val="TableNumber"/>
    <w:uiPriority w:val="19"/>
    <w:rsid w:val="00B1230C"/>
    <w:pPr>
      <w:numPr>
        <w:ilvl w:val="1"/>
      </w:numPr>
      <w:tabs>
        <w:tab w:val="num" w:pos="425"/>
      </w:tabs>
    </w:pPr>
  </w:style>
  <w:style w:type="paragraph" w:customStyle="1" w:styleId="BodyText4">
    <w:name w:val="Body Text 4"/>
    <w:basedOn w:val="30"/>
    <w:uiPriority w:val="99"/>
    <w:semiHidden/>
    <w:qFormat/>
    <w:rsid w:val="00B1230C"/>
    <w:pPr>
      <w:numPr>
        <w:ilvl w:val="3"/>
      </w:numPr>
      <w:tabs>
        <w:tab w:val="num" w:pos="0"/>
      </w:tabs>
    </w:pPr>
  </w:style>
  <w:style w:type="paragraph" w:customStyle="1" w:styleId="BodyText5">
    <w:name w:val="Body Text 5"/>
    <w:basedOn w:val="BodyText4"/>
    <w:uiPriority w:val="99"/>
    <w:semiHidden/>
    <w:qFormat/>
    <w:rsid w:val="00B1230C"/>
    <w:pPr>
      <w:numPr>
        <w:ilvl w:val="4"/>
      </w:numPr>
      <w:tabs>
        <w:tab w:val="num" w:pos="0"/>
      </w:tabs>
    </w:pPr>
  </w:style>
  <w:style w:type="paragraph" w:customStyle="1" w:styleId="BodyText6">
    <w:name w:val="Body Text 6"/>
    <w:basedOn w:val="BodyText5"/>
    <w:uiPriority w:val="99"/>
    <w:semiHidden/>
    <w:qFormat/>
    <w:rsid w:val="00B1230C"/>
    <w:pPr>
      <w:numPr>
        <w:ilvl w:val="5"/>
      </w:numPr>
      <w:tabs>
        <w:tab w:val="num" w:pos="0"/>
      </w:tabs>
    </w:pPr>
  </w:style>
  <w:style w:type="table" w:customStyle="1" w:styleId="LInedBlackTable">
    <w:name w:val="LIned Black Table"/>
    <w:basedOn w:val="LinedBlueTable"/>
    <w:uiPriority w:val="99"/>
    <w:rsid w:val="00B1230C"/>
    <w:tblPr>
      <w:tblBorders>
        <w:top w:val="single" w:sz="24" w:space="0" w:color="D1D1D1" w:themeColor="background2" w:themeShade="E6"/>
        <w:bottom w:val="single" w:sz="24" w:space="0" w:color="D1D1D1" w:themeColor="background2" w:themeShade="E6"/>
        <w:insideH w:val="single" w:sz="24" w:space="0" w:color="D1D1D1" w:themeColor="background2" w:themeShade="E6"/>
      </w:tblBorders>
    </w:tblPr>
    <w:tcPr>
      <w:shd w:val="clear" w:color="auto" w:fill="auto"/>
    </w:tcPr>
    <w:tblStylePr w:type="firstRow">
      <w:rPr>
        <w:color w:val="FFFFFF" w:themeColor="background1"/>
      </w:rPr>
      <w:tblPr/>
      <w:tcPr>
        <w:tcBorders>
          <w:top w:val="single" w:sz="18" w:space="0" w:color="E8EEFD"/>
          <w:left w:val="nil"/>
          <w:bottom w:val="nil"/>
          <w:right w:val="nil"/>
          <w:insideH w:val="nil"/>
          <w:insideV w:val="nil"/>
          <w:tl2br w:val="nil"/>
          <w:tr2bl w:val="nil"/>
        </w:tcBorders>
        <w:shd w:val="clear" w:color="auto" w:fill="000000" w:themeFill="text1"/>
      </w:tcPr>
    </w:tblStylePr>
    <w:tblStylePr w:type="lastRow">
      <w:rPr>
        <w:b/>
      </w:rPr>
      <w:tblPr/>
      <w:tcPr>
        <w:shd w:val="clear" w:color="auto" w:fill="E8E8E8" w:themeFill="background2"/>
      </w:tcPr>
    </w:tblStylePr>
    <w:tblStylePr w:type="firstCol">
      <w:rPr>
        <w:color w:val="FFFFFF" w:themeColor="background1"/>
      </w:rPr>
      <w:tblPr/>
      <w:tcPr>
        <w:tcBorders>
          <w:top w:val="nil"/>
          <w:left w:val="nil"/>
          <w:bottom w:val="single" w:sz="18" w:space="0" w:color="C1E4F5" w:themeColor="accent1" w:themeTint="33"/>
          <w:right w:val="nil"/>
          <w:insideH w:val="single" w:sz="18" w:space="0" w:color="C1E4F5" w:themeColor="accent1" w:themeTint="33"/>
          <w:insideV w:val="nil"/>
        </w:tcBorders>
        <w:shd w:val="clear" w:color="auto" w:fill="000000" w:themeFill="text1"/>
      </w:tcPr>
    </w:tblStylePr>
    <w:tblStylePr w:type="lastCol">
      <w:tblPr/>
      <w:tcPr>
        <w:shd w:val="clear" w:color="auto" w:fill="E8E8E8" w:themeFill="background2"/>
      </w:tcPr>
    </w:tblStylePr>
    <w:tblStylePr w:type="band2Vert">
      <w:tblPr/>
      <w:tcPr>
        <w:shd w:val="clear" w:color="auto" w:fill="E8E8E8" w:themeFill="background2"/>
      </w:tcPr>
    </w:tblStylePr>
    <w:tblStylePr w:type="band2Horz">
      <w:tblPr/>
      <w:tcPr>
        <w:shd w:val="clear" w:color="auto" w:fill="E8E8E8" w:themeFill="background2"/>
      </w:tcPr>
    </w:tblStylePr>
  </w:style>
  <w:style w:type="paragraph" w:styleId="afc">
    <w:name w:val="footnote text"/>
    <w:basedOn w:val="a2"/>
    <w:link w:val="afd"/>
    <w:uiPriority w:val="99"/>
    <w:rsid w:val="00B1230C"/>
    <w:pPr>
      <w:tabs>
        <w:tab w:val="left" w:pos="284"/>
      </w:tabs>
    </w:pPr>
    <w:rPr>
      <w:sz w:val="15"/>
      <w:szCs w:val="20"/>
    </w:rPr>
  </w:style>
  <w:style w:type="character" w:customStyle="1" w:styleId="afd">
    <w:name w:val="脚注文字列 (文字)"/>
    <w:basedOn w:val="a4"/>
    <w:link w:val="afc"/>
    <w:uiPriority w:val="99"/>
    <w:rsid w:val="00B1230C"/>
    <w:rPr>
      <w:rFonts w:ascii="Calibri Light" w:hAnsi="Calibri Light"/>
      <w:kern w:val="0"/>
      <w:sz w:val="15"/>
      <w:szCs w:val="20"/>
      <w:lang w:val="en-AU" w:eastAsia="en-AU"/>
      <w14:ligatures w14:val="none"/>
    </w:rPr>
  </w:style>
  <w:style w:type="numbering" w:customStyle="1" w:styleId="ListChapter">
    <w:name w:val="List_Chapter"/>
    <w:uiPriority w:val="99"/>
    <w:rsid w:val="00B1230C"/>
    <w:pPr>
      <w:numPr>
        <w:numId w:val="11"/>
      </w:numPr>
    </w:pPr>
  </w:style>
  <w:style w:type="character" w:styleId="afe">
    <w:name w:val="Placeholder Text"/>
    <w:basedOn w:val="a4"/>
    <w:uiPriority w:val="99"/>
    <w:semiHidden/>
    <w:rsid w:val="00B1230C"/>
    <w:rPr>
      <w:color w:val="808080"/>
    </w:rPr>
  </w:style>
  <w:style w:type="table" w:customStyle="1" w:styleId="TableNoBorders">
    <w:name w:val="Table No Borders"/>
    <w:basedOn w:val="a5"/>
    <w:uiPriority w:val="99"/>
    <w:rsid w:val="00B1230C"/>
    <w:pPr>
      <w:spacing w:after="0" w:line="240" w:lineRule="auto"/>
    </w:pPr>
    <w:rPr>
      <w:kern w:val="0"/>
      <w:szCs w:val="22"/>
      <w:lang w:val="en-AU" w:eastAsia="en-US"/>
      <w14:ligatures w14:val="none"/>
    </w:rPr>
    <w:tblPr/>
  </w:style>
  <w:style w:type="character" w:styleId="aff">
    <w:name w:val="footnote reference"/>
    <w:basedOn w:val="a4"/>
    <w:uiPriority w:val="99"/>
    <w:rsid w:val="00B1230C"/>
    <w:rPr>
      <w:vertAlign w:val="superscript"/>
    </w:rPr>
  </w:style>
  <w:style w:type="paragraph" w:customStyle="1" w:styleId="UTSHeaderWhite">
    <w:name w:val="UTS Header White"/>
    <w:qFormat/>
    <w:rsid w:val="00B1230C"/>
    <w:pPr>
      <w:spacing w:after="0" w:line="180" w:lineRule="exact"/>
    </w:pPr>
    <w:rPr>
      <w:color w:val="FFFFFF" w:themeColor="background1"/>
      <w:kern w:val="0"/>
      <w:sz w:val="14"/>
      <w:szCs w:val="14"/>
      <w:lang w:val="en-AU" w:eastAsia="en-US"/>
      <w14:ligatures w14:val="none"/>
    </w:rPr>
  </w:style>
  <w:style w:type="paragraph" w:customStyle="1" w:styleId="EndNoteBibliographyTitle">
    <w:name w:val="EndNote Bibliography Title"/>
    <w:basedOn w:val="a2"/>
    <w:link w:val="EndNoteBibliographyTitleChar"/>
    <w:rsid w:val="00B1230C"/>
    <w:pPr>
      <w:jc w:val="center"/>
    </w:pPr>
    <w:rPr>
      <w:rFonts w:ascii="Calibri" w:eastAsia="Times New Roman" w:hAnsi="Calibri" w:cs="Calibri"/>
      <w:color w:val="000000" w:themeColor="text1"/>
    </w:rPr>
  </w:style>
  <w:style w:type="character" w:customStyle="1" w:styleId="EndNoteBibliographyTitleChar">
    <w:name w:val="EndNote Bibliography Title Char"/>
    <w:basedOn w:val="a7"/>
    <w:link w:val="EndNoteBibliographyTitle"/>
    <w:rsid w:val="00B1230C"/>
    <w:rPr>
      <w:rFonts w:ascii="Calibri" w:eastAsia="Times New Roman" w:hAnsi="Calibri" w:cs="Calibri"/>
      <w:color w:val="000000" w:themeColor="text1"/>
      <w:kern w:val="0"/>
      <w:szCs w:val="22"/>
      <w:lang w:val="en-AU" w:eastAsia="en-AU"/>
      <w14:ligatures w14:val="none"/>
    </w:rPr>
  </w:style>
  <w:style w:type="paragraph" w:customStyle="1" w:styleId="EndNoteBibliography">
    <w:name w:val="EndNote Bibliography"/>
    <w:basedOn w:val="a2"/>
    <w:link w:val="EndNoteBibliographyChar"/>
    <w:rsid w:val="00B1230C"/>
    <w:pPr>
      <w:spacing w:line="240" w:lineRule="auto"/>
    </w:pPr>
    <w:rPr>
      <w:rFonts w:ascii="Calibri" w:eastAsia="Times New Roman" w:hAnsi="Calibri" w:cs="Calibri"/>
      <w:color w:val="000000" w:themeColor="text1"/>
    </w:rPr>
  </w:style>
  <w:style w:type="character" w:customStyle="1" w:styleId="EndNoteBibliographyChar">
    <w:name w:val="EndNote Bibliography Char"/>
    <w:basedOn w:val="a7"/>
    <w:link w:val="EndNoteBibliography"/>
    <w:rsid w:val="00B1230C"/>
    <w:rPr>
      <w:rFonts w:ascii="Calibri" w:eastAsia="Times New Roman" w:hAnsi="Calibri" w:cs="Calibri"/>
      <w:color w:val="000000" w:themeColor="text1"/>
      <w:kern w:val="0"/>
      <w:szCs w:val="22"/>
      <w:lang w:val="en-AU" w:eastAsia="en-AU"/>
      <w14:ligatures w14:val="none"/>
    </w:rPr>
  </w:style>
  <w:style w:type="character" w:customStyle="1" w:styleId="af3">
    <w:name w:val="リスト段落 (文字)"/>
    <w:aliases w:val="UTS Para (文字),OBC Bullet (文字),F5 List Paragraph (文字),Colorful List - Accent 11 (文字),Normal numbered (文字),Bullet 1 (文字),Bullet Style (文字),Dot pt (文字),No Spacing1 (文字),Indicator Text (文字),Numbered Para 1 (文字),List Paragraph1 (文字),L (文字)"/>
    <w:basedOn w:val="a4"/>
    <w:link w:val="a"/>
    <w:uiPriority w:val="34"/>
    <w:qFormat/>
    <w:locked/>
    <w:rsid w:val="00B1230C"/>
    <w:rPr>
      <w:rFonts w:ascii="Times New Roman" w:eastAsia="Times New Roman" w:hAnsi="Times New Roman" w:cs="Times New Roman"/>
      <w:color w:val="000000" w:themeColor="text1"/>
      <w:kern w:val="0"/>
      <w:sz w:val="21"/>
      <w:lang w:val="en-AU" w:eastAsia="en-AU"/>
      <w14:ligatures w14:val="none"/>
    </w:rPr>
  </w:style>
  <w:style w:type="numbering" w:customStyle="1" w:styleId="Bulletcustom">
    <w:name w:val="Bullet custom"/>
    <w:basedOn w:val="ListBullet"/>
    <w:uiPriority w:val="99"/>
    <w:rsid w:val="00B1230C"/>
    <w:pPr>
      <w:numPr>
        <w:numId w:val="12"/>
      </w:numPr>
    </w:pPr>
  </w:style>
  <w:style w:type="numbering" w:customStyle="1" w:styleId="CurrentList1">
    <w:name w:val="Current List1"/>
    <w:uiPriority w:val="99"/>
    <w:rsid w:val="00B1230C"/>
    <w:pPr>
      <w:numPr>
        <w:numId w:val="13"/>
      </w:numPr>
    </w:pPr>
  </w:style>
  <w:style w:type="numbering" w:customStyle="1" w:styleId="Markbullet">
    <w:name w:val="Mark bullet"/>
    <w:basedOn w:val="Bulletcustom"/>
    <w:uiPriority w:val="99"/>
    <w:rsid w:val="00B1230C"/>
    <w:pPr>
      <w:numPr>
        <w:numId w:val="14"/>
      </w:numPr>
    </w:pPr>
  </w:style>
  <w:style w:type="character" w:styleId="aff0">
    <w:name w:val="annotation reference"/>
    <w:basedOn w:val="a4"/>
    <w:uiPriority w:val="99"/>
    <w:semiHidden/>
    <w:rsid w:val="00B1230C"/>
    <w:rPr>
      <w:sz w:val="16"/>
      <w:szCs w:val="16"/>
    </w:rPr>
  </w:style>
  <w:style w:type="paragraph" w:styleId="aff1">
    <w:name w:val="annotation text"/>
    <w:basedOn w:val="a2"/>
    <w:link w:val="aff2"/>
    <w:uiPriority w:val="99"/>
    <w:rsid w:val="00B1230C"/>
    <w:rPr>
      <w:sz w:val="20"/>
      <w:szCs w:val="20"/>
    </w:rPr>
  </w:style>
  <w:style w:type="character" w:customStyle="1" w:styleId="aff2">
    <w:name w:val="コメント文字列 (文字)"/>
    <w:basedOn w:val="a4"/>
    <w:link w:val="aff1"/>
    <w:uiPriority w:val="99"/>
    <w:rsid w:val="00B1230C"/>
    <w:rPr>
      <w:rFonts w:ascii="Calibri Light" w:hAnsi="Calibri Light"/>
      <w:kern w:val="0"/>
      <w:sz w:val="20"/>
      <w:szCs w:val="20"/>
      <w:lang w:val="en-AU" w:eastAsia="en-AU"/>
      <w14:ligatures w14:val="none"/>
    </w:rPr>
  </w:style>
  <w:style w:type="paragraph" w:styleId="aff3">
    <w:name w:val="annotation subject"/>
    <w:basedOn w:val="aff1"/>
    <w:next w:val="aff1"/>
    <w:link w:val="aff4"/>
    <w:uiPriority w:val="99"/>
    <w:semiHidden/>
    <w:rsid w:val="00B1230C"/>
    <w:rPr>
      <w:b/>
      <w:bCs/>
    </w:rPr>
  </w:style>
  <w:style w:type="character" w:customStyle="1" w:styleId="aff4">
    <w:name w:val="コメント内容 (文字)"/>
    <w:basedOn w:val="aff2"/>
    <w:link w:val="aff3"/>
    <w:uiPriority w:val="99"/>
    <w:semiHidden/>
    <w:rsid w:val="00B1230C"/>
    <w:rPr>
      <w:rFonts w:ascii="Calibri Light" w:hAnsi="Calibri Light"/>
      <w:b/>
      <w:bCs/>
      <w:kern w:val="0"/>
      <w:sz w:val="20"/>
      <w:szCs w:val="20"/>
      <w:lang w:val="en-AU" w:eastAsia="en-AU"/>
      <w14:ligatures w14:val="none"/>
    </w:rPr>
  </w:style>
  <w:style w:type="paragraph" w:styleId="aff5">
    <w:name w:val="Revision"/>
    <w:hidden/>
    <w:uiPriority w:val="99"/>
    <w:semiHidden/>
    <w:rsid w:val="00B1230C"/>
    <w:pPr>
      <w:spacing w:after="0" w:line="240" w:lineRule="auto"/>
    </w:pPr>
    <w:rPr>
      <w:kern w:val="0"/>
      <w:sz w:val="18"/>
      <w:szCs w:val="22"/>
      <w:lang w:val="en-AU" w:eastAsia="en-US"/>
      <w14:ligatures w14:val="none"/>
    </w:rPr>
  </w:style>
  <w:style w:type="character" w:styleId="aff6">
    <w:name w:val="Unresolved Mention"/>
    <w:basedOn w:val="a4"/>
    <w:uiPriority w:val="99"/>
    <w:semiHidden/>
    <w:unhideWhenUsed/>
    <w:rsid w:val="00B1230C"/>
    <w:rPr>
      <w:color w:val="605E5C"/>
      <w:shd w:val="clear" w:color="auto" w:fill="E1DFDD"/>
    </w:rPr>
  </w:style>
  <w:style w:type="paragraph" w:styleId="Web">
    <w:name w:val="Normal (Web)"/>
    <w:basedOn w:val="a2"/>
    <w:uiPriority w:val="99"/>
    <w:semiHidden/>
    <w:rsid w:val="00B1230C"/>
    <w:rPr>
      <w:rFonts w:cs="Times New Roman"/>
      <w:sz w:val="24"/>
      <w:szCs w:val="24"/>
    </w:rPr>
  </w:style>
  <w:style w:type="paragraph" w:customStyle="1" w:styleId="Default">
    <w:name w:val="Default"/>
    <w:rsid w:val="00B1230C"/>
    <w:pPr>
      <w:autoSpaceDE w:val="0"/>
      <w:autoSpaceDN w:val="0"/>
      <w:adjustRightInd w:val="0"/>
      <w:spacing w:after="0" w:line="240" w:lineRule="auto"/>
    </w:pPr>
    <w:rPr>
      <w:rFonts w:ascii="Palatino Linotype" w:hAnsi="Palatino Linotype" w:cs="Palatino Linotype"/>
      <w:color w:val="000000"/>
      <w:kern w:val="0"/>
      <w:sz w:val="24"/>
      <w:lang w:val="en-AU" w:eastAsia="en-US"/>
      <w14:ligatures w14:val="none"/>
    </w:rPr>
  </w:style>
  <w:style w:type="numbering" w:customStyle="1" w:styleId="ListParagraph">
    <w:name w:val="List_Paragraph"/>
    <w:uiPriority w:val="99"/>
    <w:rsid w:val="00B1230C"/>
  </w:style>
  <w:style w:type="table" w:styleId="5-1">
    <w:name w:val="Grid Table 5 Dark Accent 1"/>
    <w:basedOn w:val="a5"/>
    <w:uiPriority w:val="50"/>
    <w:rsid w:val="00B1230C"/>
    <w:pPr>
      <w:spacing w:before="80" w:after="0" w:line="240" w:lineRule="auto"/>
    </w:pPr>
    <w:rPr>
      <w:kern w:val="0"/>
      <w:szCs w:val="22"/>
      <w:lang w:val="en-AU"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4-1">
    <w:name w:val="Grid Table 4 Accent 1"/>
    <w:basedOn w:val="a5"/>
    <w:uiPriority w:val="49"/>
    <w:rsid w:val="00B1230C"/>
    <w:pPr>
      <w:spacing w:before="80" w:after="0" w:line="240" w:lineRule="auto"/>
    </w:pPr>
    <w:rPr>
      <w:kern w:val="0"/>
      <w:szCs w:val="22"/>
      <w:lang w:val="en-AU" w:eastAsia="en-US"/>
      <w14:ligatures w14:val="none"/>
    </w:rPr>
    <w:tblPr>
      <w:tblStyleRowBandSize w:val="1"/>
      <w:tblStyleColBandSize w:val="1"/>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cPr>
      <w:shd w:val="clear" w:color="auto" w:fill="C1E4F5" w:themeFill="accent1" w:themeFillTint="33"/>
    </w:tc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CommentText1">
    <w:name w:val="Comment Text1"/>
    <w:basedOn w:val="a2"/>
    <w:next w:val="aff1"/>
    <w:uiPriority w:val="99"/>
    <w:semiHidden/>
    <w:rsid w:val="00B1230C"/>
    <w:rPr>
      <w:kern w:val="2"/>
      <w:sz w:val="20"/>
      <w:szCs w:val="20"/>
      <w14:ligatures w14:val="standardContextual"/>
    </w:rPr>
  </w:style>
  <w:style w:type="character" w:customStyle="1" w:styleId="CommentTextChar1">
    <w:name w:val="Comment Text Char1"/>
    <w:basedOn w:val="a4"/>
    <w:uiPriority w:val="99"/>
    <w:rsid w:val="00B1230C"/>
    <w:rPr>
      <w:sz w:val="20"/>
      <w:szCs w:val="20"/>
    </w:rPr>
  </w:style>
  <w:style w:type="paragraph" w:customStyle="1" w:styleId="TableNotes">
    <w:name w:val="TableNotes"/>
    <w:basedOn w:val="a2"/>
    <w:autoRedefine/>
    <w:qFormat/>
    <w:rsid w:val="00B1230C"/>
    <w:pPr>
      <w:spacing w:before="120" w:after="360" w:line="240" w:lineRule="auto"/>
      <w:ind w:left="851" w:hanging="851"/>
      <w:contextualSpacing/>
    </w:pPr>
    <w:rPr>
      <w:sz w:val="18"/>
      <w:szCs w:val="18"/>
    </w:rPr>
  </w:style>
  <w:style w:type="paragraph" w:customStyle="1" w:styleId="Tablefonts">
    <w:name w:val="Tablefonts"/>
    <w:basedOn w:val="a2"/>
    <w:qFormat/>
    <w:rsid w:val="00B1230C"/>
    <w:pPr>
      <w:spacing w:after="0"/>
      <w:contextualSpacing/>
    </w:pPr>
    <w:rPr>
      <w:sz w:val="20"/>
      <w:szCs w:val="20"/>
    </w:rPr>
  </w:style>
  <w:style w:type="paragraph" w:customStyle="1" w:styleId="Title2">
    <w:name w:val="Title2"/>
    <w:basedOn w:val="a2"/>
    <w:qFormat/>
    <w:rsid w:val="00B1230C"/>
    <w:rPr>
      <w:sz w:val="28"/>
    </w:rPr>
  </w:style>
  <w:style w:type="table" w:styleId="5-3">
    <w:name w:val="Grid Table 5 Dark Accent 3"/>
    <w:basedOn w:val="a5"/>
    <w:uiPriority w:val="50"/>
    <w:rsid w:val="00B1230C"/>
    <w:pPr>
      <w:spacing w:before="80" w:after="0" w:line="240" w:lineRule="auto"/>
    </w:pPr>
    <w:rPr>
      <w:kern w:val="0"/>
      <w:szCs w:val="22"/>
      <w:lang w:val="en-AU"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paragraph" w:customStyle="1" w:styleId="UTSTitles">
    <w:name w:val="UTS_Titles"/>
    <w:basedOn w:val="NbrHeading1"/>
    <w:qFormat/>
    <w:rsid w:val="00B1230C"/>
    <w:pPr>
      <w:numPr>
        <w:numId w:val="0"/>
      </w:numPr>
      <w:tabs>
        <w:tab w:val="num" w:pos="1134"/>
      </w:tabs>
    </w:pPr>
  </w:style>
  <w:style w:type="numbering" w:customStyle="1" w:styleId="CurrentList2">
    <w:name w:val="Current List2"/>
    <w:uiPriority w:val="99"/>
    <w:rsid w:val="00B1230C"/>
    <w:pPr>
      <w:numPr>
        <w:numId w:val="17"/>
      </w:numPr>
    </w:pPr>
  </w:style>
  <w:style w:type="numbering" w:customStyle="1" w:styleId="CurrentList3">
    <w:name w:val="Current List3"/>
    <w:uiPriority w:val="99"/>
    <w:rsid w:val="00B1230C"/>
    <w:pPr>
      <w:numPr>
        <w:numId w:val="18"/>
      </w:numPr>
    </w:pPr>
  </w:style>
  <w:style w:type="paragraph" w:customStyle="1" w:styleId="paragraph">
    <w:name w:val="paragraph"/>
    <w:basedOn w:val="a2"/>
    <w:rsid w:val="00B1230C"/>
    <w:pPr>
      <w:spacing w:before="100" w:beforeAutospacing="1" w:after="100" w:afterAutospacing="1" w:line="240" w:lineRule="auto"/>
    </w:pPr>
    <w:rPr>
      <w:rFonts w:eastAsia="Times New Roman" w:cs="Times New Roman"/>
      <w:sz w:val="24"/>
      <w:szCs w:val="24"/>
      <w:lang w:eastAsia="en-GB"/>
    </w:rPr>
  </w:style>
  <w:style w:type="character" w:customStyle="1" w:styleId="normaltextrun">
    <w:name w:val="normaltextrun"/>
    <w:basedOn w:val="a4"/>
    <w:rsid w:val="00B1230C"/>
  </w:style>
  <w:style w:type="character" w:customStyle="1" w:styleId="eop">
    <w:name w:val="eop"/>
    <w:basedOn w:val="a4"/>
    <w:rsid w:val="00B1230C"/>
  </w:style>
  <w:style w:type="character" w:styleId="aff7">
    <w:name w:val="Mention"/>
    <w:basedOn w:val="a4"/>
    <w:uiPriority w:val="99"/>
    <w:unhideWhenUsed/>
    <w:rsid w:val="00B1230C"/>
    <w:rPr>
      <w:color w:val="2B579A"/>
      <w:shd w:val="clear" w:color="auto" w:fill="E1DFDD"/>
    </w:rPr>
  </w:style>
  <w:style w:type="table" w:customStyle="1" w:styleId="GridTable4-Accent31">
    <w:name w:val="Grid Table 4 - Accent 31"/>
    <w:basedOn w:val="a5"/>
    <w:next w:val="4-3"/>
    <w:uiPriority w:val="49"/>
    <w:rsid w:val="00B1230C"/>
    <w:pPr>
      <w:spacing w:after="0" w:line="240" w:lineRule="auto"/>
    </w:pPr>
    <w:rPr>
      <w:sz w:val="24"/>
      <w:lang w:val="en-AU"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3">
    <w:name w:val="Grid Table 4 Accent 3"/>
    <w:basedOn w:val="a5"/>
    <w:uiPriority w:val="49"/>
    <w:rsid w:val="00B1230C"/>
    <w:pPr>
      <w:spacing w:before="80" w:after="0" w:line="240" w:lineRule="auto"/>
    </w:pPr>
    <w:rPr>
      <w:kern w:val="0"/>
      <w:szCs w:val="22"/>
      <w:lang w:val="en-AU" w:eastAsia="en-US"/>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4-Accent32">
    <w:name w:val="Grid Table 4 - Accent 32"/>
    <w:basedOn w:val="a5"/>
    <w:next w:val="4-3"/>
    <w:uiPriority w:val="49"/>
    <w:rsid w:val="00B1230C"/>
    <w:pPr>
      <w:spacing w:after="0" w:line="240" w:lineRule="auto"/>
    </w:pPr>
    <w:rPr>
      <w:sz w:val="24"/>
      <w:lang w:val="en-AU"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3">
    <w:name w:val="Grid Table 4 - Accent 33"/>
    <w:basedOn w:val="a5"/>
    <w:next w:val="4-3"/>
    <w:uiPriority w:val="49"/>
    <w:rsid w:val="00B1230C"/>
    <w:pPr>
      <w:spacing w:after="0" w:line="240" w:lineRule="auto"/>
    </w:pPr>
    <w:rPr>
      <w:sz w:val="24"/>
      <w:lang w:val="en-AU"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4">
    <w:name w:val="Grid Table 4 - Accent 34"/>
    <w:basedOn w:val="a5"/>
    <w:next w:val="4-3"/>
    <w:uiPriority w:val="49"/>
    <w:rsid w:val="00B1230C"/>
    <w:pPr>
      <w:spacing w:after="0" w:line="240" w:lineRule="auto"/>
    </w:pPr>
    <w:rPr>
      <w:sz w:val="24"/>
      <w:lang w:val="en-AU"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5">
    <w:name w:val="Grid Table 4 - Accent 35"/>
    <w:basedOn w:val="a5"/>
    <w:next w:val="4-3"/>
    <w:uiPriority w:val="49"/>
    <w:rsid w:val="00B1230C"/>
    <w:pPr>
      <w:spacing w:after="0" w:line="240" w:lineRule="auto"/>
    </w:pPr>
    <w:rPr>
      <w:sz w:val="24"/>
      <w:lang w:val="en-AU"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6">
    <w:name w:val="Grid Table 4 - Accent 36"/>
    <w:basedOn w:val="a5"/>
    <w:uiPriority w:val="49"/>
    <w:rsid w:val="00B1230C"/>
    <w:pPr>
      <w:spacing w:after="0" w:line="240" w:lineRule="auto"/>
    </w:pPr>
    <w:rPr>
      <w:rFonts w:ascii="Arial" w:eastAsia="Arial" w:hAnsi="Arial" w:cs="Arial"/>
      <w:sz w:val="24"/>
      <w:lang w:val="en-AU"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7">
    <w:name w:val="Grid Table 4 - Accent 37"/>
    <w:basedOn w:val="a5"/>
    <w:next w:val="4-3"/>
    <w:uiPriority w:val="49"/>
    <w:rsid w:val="00B1230C"/>
    <w:pPr>
      <w:spacing w:after="0" w:line="240" w:lineRule="auto"/>
    </w:pPr>
    <w:rPr>
      <w:sz w:val="24"/>
      <w:lang w:val="en-AU"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8">
    <w:name w:val="Grid Table 4 - Accent 38"/>
    <w:basedOn w:val="a5"/>
    <w:next w:val="4-3"/>
    <w:uiPriority w:val="49"/>
    <w:rsid w:val="00B1230C"/>
    <w:pPr>
      <w:spacing w:after="0" w:line="240" w:lineRule="auto"/>
    </w:pPr>
    <w:rPr>
      <w:sz w:val="24"/>
      <w:lang w:val="en-AU"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9">
    <w:name w:val="Grid Table 4 - Accent 39"/>
    <w:basedOn w:val="a5"/>
    <w:next w:val="4-3"/>
    <w:uiPriority w:val="49"/>
    <w:rsid w:val="00B1230C"/>
    <w:pPr>
      <w:spacing w:after="0" w:line="240" w:lineRule="auto"/>
    </w:pPr>
    <w:rPr>
      <w:sz w:val="24"/>
      <w:lang w:val="en-AU"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485260">
      <w:bodyDiv w:val="1"/>
      <w:marLeft w:val="0"/>
      <w:marRight w:val="0"/>
      <w:marTop w:val="0"/>
      <w:marBottom w:val="0"/>
      <w:divBdr>
        <w:top w:val="none" w:sz="0" w:space="0" w:color="auto"/>
        <w:left w:val="none" w:sz="0" w:space="0" w:color="auto"/>
        <w:bottom w:val="none" w:sz="0" w:space="0" w:color="auto"/>
        <w:right w:val="none" w:sz="0" w:space="0" w:color="auto"/>
      </w:divBdr>
    </w:div>
    <w:div w:id="94608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82A-0CC7-443B-A5A2-F0B6A7A3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2616</Words>
  <Characters>14912</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 Hiroyuki</dc:creator>
  <cp:keywords/>
  <dc:description/>
  <cp:lastModifiedBy>SAKAMAKI Hiroyuki</cp:lastModifiedBy>
  <cp:revision>6</cp:revision>
  <dcterms:created xsi:type="dcterms:W3CDTF">2024-07-12T02:45:00Z</dcterms:created>
  <dcterms:modified xsi:type="dcterms:W3CDTF">2024-07-16T08:13:00Z</dcterms:modified>
</cp:coreProperties>
</file>