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F58DE" w14:textId="77777777" w:rsidR="005D28FD" w:rsidRPr="00505422" w:rsidRDefault="00505422" w:rsidP="00E0130F">
      <w:pPr>
        <w:snapToGrid w:val="0"/>
        <w:spacing w:after="0" w:line="240" w:lineRule="auto"/>
        <w:rPr>
          <w:b/>
          <w:bCs/>
          <w:sz w:val="32"/>
          <w:szCs w:val="40"/>
        </w:rPr>
      </w:pPr>
      <w:proofErr w:type="spellStart"/>
      <w:r w:rsidRPr="00505422">
        <w:rPr>
          <w:b/>
          <w:bCs/>
          <w:sz w:val="32"/>
          <w:szCs w:val="40"/>
        </w:rPr>
        <w:t>Optimising</w:t>
      </w:r>
      <w:proofErr w:type="spellEnd"/>
      <w:r w:rsidRPr="00505422">
        <w:rPr>
          <w:b/>
          <w:bCs/>
          <w:sz w:val="32"/>
          <w:szCs w:val="40"/>
        </w:rPr>
        <w:t xml:space="preserve"> the availability and use of real world data and real world evidence to support health technology assessment in Australia</w:t>
      </w:r>
    </w:p>
    <w:p w14:paraId="74898F18" w14:textId="77777777" w:rsidR="00505422" w:rsidRDefault="00505422" w:rsidP="00E0130F">
      <w:pPr>
        <w:snapToGrid w:val="0"/>
        <w:spacing w:afterLines="50" w:after="175" w:line="240" w:lineRule="auto"/>
        <w:rPr>
          <w:b/>
          <w:bCs/>
          <w:sz w:val="24"/>
          <w:szCs w:val="32"/>
        </w:rPr>
      </w:pPr>
    </w:p>
    <w:sdt>
      <w:sdtPr>
        <w:rPr>
          <w:rFonts w:ascii="Calibri" w:eastAsia="Calibri" w:hAnsi="Calibri" w:cs="Calibri"/>
          <w:b w:val="0"/>
          <w:bCs w:val="0"/>
          <w:color w:val="auto"/>
          <w:spacing w:val="0"/>
          <w:sz w:val="22"/>
          <w:szCs w:val="22"/>
          <w:lang w:eastAsia="en-US"/>
        </w:rPr>
        <w:id w:val="-1819797954"/>
        <w:docPartObj>
          <w:docPartGallery w:val="Table of Contents"/>
          <w:docPartUnique/>
        </w:docPartObj>
      </w:sdtPr>
      <w:sdtEndPr>
        <w:rPr>
          <w:rFonts w:ascii="Times New Roman" w:eastAsia="ＭＳ Ｐ明朝" w:hAnsi="Times New Roman" w:cstheme="minorBidi"/>
          <w:kern w:val="2"/>
          <w:sz w:val="21"/>
          <w:szCs w:val="24"/>
          <w:lang w:val="en-US" w:eastAsia="ja-JP"/>
          <w14:ligatures w14:val="standardContextual"/>
        </w:rPr>
      </w:sdtEndPr>
      <w:sdtContent>
        <w:p w14:paraId="3F05B31F" w14:textId="77777777" w:rsidR="00E0130F" w:rsidRPr="00E0130F" w:rsidRDefault="00E0130F" w:rsidP="00E0130F">
          <w:pPr>
            <w:pStyle w:val="a8"/>
            <w:snapToGrid w:val="0"/>
            <w:spacing w:before="0" w:afterLines="50" w:after="175" w:line="240" w:lineRule="auto"/>
            <w:rPr>
              <w:rFonts w:asciiTheme="minorHAnsi" w:eastAsiaTheme="minorEastAsia" w:hAnsiTheme="minorHAnsi" w:cstheme="minorBidi"/>
              <w:noProof/>
              <w:kern w:val="2"/>
              <w:sz w:val="20"/>
              <w:szCs w:val="20"/>
              <w14:ligatures w14:val="standardContextual"/>
            </w:rPr>
          </w:pPr>
          <w:r w:rsidRPr="00E0130F">
            <w:rPr>
              <w:sz w:val="28"/>
              <w:szCs w:val="22"/>
            </w:rPr>
            <w:t>Table of Contents</w:t>
          </w:r>
          <w:r w:rsidRPr="00E0130F">
            <w:rPr>
              <w:sz w:val="28"/>
              <w:szCs w:val="22"/>
            </w:rPr>
            <w:fldChar w:fldCharType="begin"/>
          </w:r>
          <w:r w:rsidRPr="00E0130F">
            <w:rPr>
              <w:sz w:val="28"/>
              <w:szCs w:val="22"/>
            </w:rPr>
            <w:instrText xml:space="preserve"> TOC \o "1-3" \h \z \u </w:instrText>
          </w:r>
          <w:r w:rsidRPr="00E0130F">
            <w:rPr>
              <w:sz w:val="28"/>
              <w:szCs w:val="22"/>
            </w:rPr>
            <w:fldChar w:fldCharType="separate"/>
          </w:r>
        </w:p>
        <w:p w14:paraId="58B58B45" w14:textId="77777777" w:rsidR="00E0130F" w:rsidRPr="00E0130F" w:rsidRDefault="00E0130F" w:rsidP="00E0130F">
          <w:pPr>
            <w:pStyle w:val="2"/>
            <w:snapToGrid w:val="0"/>
            <w:spacing w:afterLines="50" w:after="175" w:line="240" w:lineRule="auto"/>
            <w:ind w:left="0"/>
            <w:rPr>
              <w:rFonts w:ascii="Calibri" w:hAnsi="Calibri" w:cs="Calibri"/>
              <w:spacing w:val="0"/>
              <w:kern w:val="2"/>
              <w14:ligatures w14:val="standardContextual"/>
            </w:rPr>
          </w:pPr>
          <w:hyperlink w:anchor="_Toc147507792" w:history="1">
            <w:r w:rsidRPr="00E0130F">
              <w:rPr>
                <w:rStyle w:val="a7"/>
                <w:rFonts w:ascii="Calibri" w:hAnsi="Calibri" w:cs="Calibri"/>
              </w:rPr>
              <w:t>List of Tables</w:t>
            </w:r>
            <w:r w:rsidRPr="00E0130F">
              <w:rPr>
                <w:rFonts w:ascii="Calibri" w:hAnsi="Calibri" w:cs="Calibri"/>
                <w:webHidden/>
              </w:rPr>
              <w:tab/>
            </w:r>
            <w:r w:rsidRPr="00E0130F">
              <w:rPr>
                <w:rFonts w:ascii="Calibri" w:hAnsi="Calibri" w:cs="Calibri"/>
                <w:webHidden/>
              </w:rPr>
              <w:fldChar w:fldCharType="begin"/>
            </w:r>
            <w:r w:rsidRPr="00E0130F">
              <w:rPr>
                <w:rFonts w:ascii="Calibri" w:hAnsi="Calibri" w:cs="Calibri"/>
                <w:webHidden/>
              </w:rPr>
              <w:instrText xml:space="preserve"> PAGEREF _Toc147507792 \h </w:instrText>
            </w:r>
            <w:r w:rsidRPr="00E0130F">
              <w:rPr>
                <w:rFonts w:ascii="Calibri" w:hAnsi="Calibri" w:cs="Calibri"/>
                <w:webHidden/>
              </w:rPr>
            </w:r>
            <w:r w:rsidRPr="00E0130F">
              <w:rPr>
                <w:rFonts w:ascii="Calibri" w:hAnsi="Calibri" w:cs="Calibri"/>
                <w:webHidden/>
              </w:rPr>
              <w:fldChar w:fldCharType="separate"/>
            </w:r>
            <w:r w:rsidRPr="00E0130F">
              <w:rPr>
                <w:rFonts w:ascii="Calibri" w:hAnsi="Calibri" w:cs="Calibri"/>
                <w:webHidden/>
              </w:rPr>
              <w:t>4</w:t>
            </w:r>
            <w:r w:rsidRPr="00E0130F">
              <w:rPr>
                <w:rFonts w:ascii="Calibri" w:hAnsi="Calibri" w:cs="Calibri"/>
                <w:webHidden/>
              </w:rPr>
              <w:fldChar w:fldCharType="end"/>
            </w:r>
          </w:hyperlink>
        </w:p>
        <w:p w14:paraId="47ACBC32" w14:textId="77777777" w:rsidR="00E0130F" w:rsidRPr="00E0130F" w:rsidRDefault="00E0130F" w:rsidP="00E0130F">
          <w:pPr>
            <w:pStyle w:val="2"/>
            <w:snapToGrid w:val="0"/>
            <w:spacing w:afterLines="50" w:after="175" w:line="240" w:lineRule="auto"/>
            <w:ind w:left="0"/>
            <w:rPr>
              <w:rFonts w:ascii="Calibri" w:hAnsi="Calibri" w:cs="Calibri"/>
              <w:spacing w:val="0"/>
              <w:kern w:val="2"/>
              <w14:ligatures w14:val="standardContextual"/>
            </w:rPr>
          </w:pPr>
          <w:hyperlink w:anchor="_Toc147507793" w:history="1">
            <w:r w:rsidRPr="00E0130F">
              <w:rPr>
                <w:rStyle w:val="a7"/>
                <w:rFonts w:ascii="Calibri" w:hAnsi="Calibri" w:cs="Calibri"/>
              </w:rPr>
              <w:t>List of Figures</w:t>
            </w:r>
            <w:r w:rsidRPr="00E0130F">
              <w:rPr>
                <w:rFonts w:ascii="Calibri" w:hAnsi="Calibri" w:cs="Calibri"/>
                <w:webHidden/>
              </w:rPr>
              <w:tab/>
            </w:r>
            <w:r w:rsidRPr="00E0130F">
              <w:rPr>
                <w:rFonts w:ascii="Calibri" w:hAnsi="Calibri" w:cs="Calibri"/>
                <w:webHidden/>
              </w:rPr>
              <w:fldChar w:fldCharType="begin"/>
            </w:r>
            <w:r w:rsidRPr="00E0130F">
              <w:rPr>
                <w:rFonts w:ascii="Calibri" w:hAnsi="Calibri" w:cs="Calibri"/>
                <w:webHidden/>
              </w:rPr>
              <w:instrText xml:space="preserve"> PAGEREF _Toc147507793 \h </w:instrText>
            </w:r>
            <w:r w:rsidRPr="00E0130F">
              <w:rPr>
                <w:rFonts w:ascii="Calibri" w:hAnsi="Calibri" w:cs="Calibri"/>
                <w:webHidden/>
              </w:rPr>
            </w:r>
            <w:r w:rsidRPr="00E0130F">
              <w:rPr>
                <w:rFonts w:ascii="Calibri" w:hAnsi="Calibri" w:cs="Calibri"/>
                <w:webHidden/>
              </w:rPr>
              <w:fldChar w:fldCharType="separate"/>
            </w:r>
            <w:r w:rsidRPr="00E0130F">
              <w:rPr>
                <w:rFonts w:ascii="Calibri" w:hAnsi="Calibri" w:cs="Calibri"/>
                <w:webHidden/>
              </w:rPr>
              <w:t>4</w:t>
            </w:r>
            <w:r w:rsidRPr="00E0130F">
              <w:rPr>
                <w:rFonts w:ascii="Calibri" w:hAnsi="Calibri" w:cs="Calibri"/>
                <w:webHidden/>
              </w:rPr>
              <w:fldChar w:fldCharType="end"/>
            </w:r>
          </w:hyperlink>
        </w:p>
        <w:p w14:paraId="48BC93BE" w14:textId="77777777" w:rsidR="00E0130F" w:rsidRPr="00E0130F" w:rsidRDefault="00E0130F" w:rsidP="00E0130F">
          <w:pPr>
            <w:pStyle w:val="2"/>
            <w:snapToGrid w:val="0"/>
            <w:spacing w:afterLines="50" w:after="175" w:line="240" w:lineRule="auto"/>
            <w:ind w:left="0"/>
            <w:rPr>
              <w:rFonts w:ascii="Calibri" w:hAnsi="Calibri" w:cs="Calibri"/>
              <w:spacing w:val="0"/>
              <w:kern w:val="2"/>
              <w14:ligatures w14:val="standardContextual"/>
            </w:rPr>
          </w:pPr>
          <w:hyperlink w:anchor="_Toc147507794" w:history="1">
            <w:r w:rsidRPr="00E0130F">
              <w:rPr>
                <w:rStyle w:val="a7"/>
                <w:rFonts w:ascii="Calibri" w:hAnsi="Calibri" w:cs="Calibri"/>
              </w:rPr>
              <w:t>Glossary of terms</w:t>
            </w:r>
            <w:r w:rsidRPr="00E0130F">
              <w:rPr>
                <w:rFonts w:ascii="Calibri" w:hAnsi="Calibri" w:cs="Calibri"/>
                <w:webHidden/>
              </w:rPr>
              <w:tab/>
            </w:r>
            <w:r w:rsidRPr="00E0130F">
              <w:rPr>
                <w:rFonts w:ascii="Calibri" w:hAnsi="Calibri" w:cs="Calibri"/>
                <w:webHidden/>
              </w:rPr>
              <w:fldChar w:fldCharType="begin"/>
            </w:r>
            <w:r w:rsidRPr="00E0130F">
              <w:rPr>
                <w:rFonts w:ascii="Calibri" w:hAnsi="Calibri" w:cs="Calibri"/>
                <w:webHidden/>
              </w:rPr>
              <w:instrText xml:space="preserve"> PAGEREF _Toc147507794 \h </w:instrText>
            </w:r>
            <w:r w:rsidRPr="00E0130F">
              <w:rPr>
                <w:rFonts w:ascii="Calibri" w:hAnsi="Calibri" w:cs="Calibri"/>
                <w:webHidden/>
              </w:rPr>
            </w:r>
            <w:r w:rsidRPr="00E0130F">
              <w:rPr>
                <w:rFonts w:ascii="Calibri" w:hAnsi="Calibri" w:cs="Calibri"/>
                <w:webHidden/>
              </w:rPr>
              <w:fldChar w:fldCharType="separate"/>
            </w:r>
            <w:r w:rsidRPr="00E0130F">
              <w:rPr>
                <w:rFonts w:ascii="Calibri" w:hAnsi="Calibri" w:cs="Calibri"/>
                <w:webHidden/>
              </w:rPr>
              <w:t>5</w:t>
            </w:r>
            <w:r w:rsidRPr="00E0130F">
              <w:rPr>
                <w:rFonts w:ascii="Calibri" w:hAnsi="Calibri" w:cs="Calibri"/>
                <w:webHidden/>
              </w:rPr>
              <w:fldChar w:fldCharType="end"/>
            </w:r>
          </w:hyperlink>
        </w:p>
        <w:p w14:paraId="057CC81A" w14:textId="77777777" w:rsidR="00E0130F" w:rsidRPr="00E0130F" w:rsidRDefault="00E0130F" w:rsidP="00E0130F">
          <w:pPr>
            <w:pStyle w:val="2"/>
            <w:snapToGrid w:val="0"/>
            <w:spacing w:afterLines="50" w:after="175" w:line="240" w:lineRule="auto"/>
            <w:ind w:left="0"/>
            <w:rPr>
              <w:rFonts w:ascii="Calibri" w:hAnsi="Calibri" w:cs="Calibri"/>
              <w:spacing w:val="0"/>
              <w:kern w:val="2"/>
              <w14:ligatures w14:val="standardContextual"/>
            </w:rPr>
          </w:pPr>
          <w:hyperlink w:anchor="_Toc147507795" w:history="1">
            <w:r w:rsidRPr="00E0130F">
              <w:rPr>
                <w:rStyle w:val="a7"/>
                <w:rFonts w:ascii="Calibri" w:hAnsi="Calibri" w:cs="Calibri"/>
              </w:rPr>
              <w:t>List of acronyms</w:t>
            </w:r>
            <w:r w:rsidRPr="00E0130F">
              <w:rPr>
                <w:rFonts w:ascii="Calibri" w:hAnsi="Calibri" w:cs="Calibri"/>
                <w:webHidden/>
              </w:rPr>
              <w:tab/>
            </w:r>
            <w:r w:rsidRPr="00E0130F">
              <w:rPr>
                <w:rFonts w:ascii="Calibri" w:hAnsi="Calibri" w:cs="Calibri"/>
                <w:webHidden/>
              </w:rPr>
              <w:fldChar w:fldCharType="begin"/>
            </w:r>
            <w:r w:rsidRPr="00E0130F">
              <w:rPr>
                <w:rFonts w:ascii="Calibri" w:hAnsi="Calibri" w:cs="Calibri"/>
                <w:webHidden/>
              </w:rPr>
              <w:instrText xml:space="preserve"> PAGEREF _Toc147507795 \h </w:instrText>
            </w:r>
            <w:r w:rsidRPr="00E0130F">
              <w:rPr>
                <w:rFonts w:ascii="Calibri" w:hAnsi="Calibri" w:cs="Calibri"/>
                <w:webHidden/>
              </w:rPr>
            </w:r>
            <w:r w:rsidRPr="00E0130F">
              <w:rPr>
                <w:rFonts w:ascii="Calibri" w:hAnsi="Calibri" w:cs="Calibri"/>
                <w:webHidden/>
              </w:rPr>
              <w:fldChar w:fldCharType="separate"/>
            </w:r>
            <w:r w:rsidRPr="00E0130F">
              <w:rPr>
                <w:rFonts w:ascii="Calibri" w:hAnsi="Calibri" w:cs="Calibri"/>
                <w:webHidden/>
              </w:rPr>
              <w:t>6</w:t>
            </w:r>
            <w:r w:rsidRPr="00E0130F">
              <w:rPr>
                <w:rFonts w:ascii="Calibri" w:hAnsi="Calibri" w:cs="Calibri"/>
                <w:webHidden/>
              </w:rPr>
              <w:fldChar w:fldCharType="end"/>
            </w:r>
          </w:hyperlink>
        </w:p>
        <w:p w14:paraId="1F154C63" w14:textId="77777777" w:rsidR="00E0130F" w:rsidRPr="00E0130F" w:rsidRDefault="00E0130F" w:rsidP="00E0130F">
          <w:pPr>
            <w:pStyle w:val="11"/>
            <w:snapToGrid w:val="0"/>
            <w:spacing w:before="0" w:afterLines="50" w:after="175" w:line="240" w:lineRule="auto"/>
            <w:rPr>
              <w:rFonts w:eastAsiaTheme="minorEastAsia"/>
              <w:noProof/>
              <w:kern w:val="2"/>
              <w:sz w:val="20"/>
              <w:szCs w:val="20"/>
              <w:lang w:eastAsia="en-AU"/>
              <w14:ligatures w14:val="standardContextual"/>
            </w:rPr>
          </w:pPr>
          <w:hyperlink w:anchor="_Toc147507796" w:history="1">
            <w:r w:rsidRPr="00E0130F">
              <w:rPr>
                <w:rStyle w:val="a7"/>
                <w:noProof/>
                <w:sz w:val="20"/>
                <w:szCs w:val="20"/>
              </w:rPr>
              <w:t>Executive Summary</w:t>
            </w:r>
            <w:r w:rsidRPr="00E0130F">
              <w:rPr>
                <w:noProof/>
                <w:webHidden/>
                <w:sz w:val="20"/>
                <w:szCs w:val="20"/>
              </w:rPr>
              <w:tab/>
            </w:r>
            <w:r w:rsidRPr="00E0130F">
              <w:rPr>
                <w:noProof/>
                <w:webHidden/>
                <w:sz w:val="20"/>
                <w:szCs w:val="20"/>
              </w:rPr>
              <w:fldChar w:fldCharType="begin"/>
            </w:r>
            <w:r w:rsidRPr="00E0130F">
              <w:rPr>
                <w:noProof/>
                <w:webHidden/>
                <w:sz w:val="20"/>
                <w:szCs w:val="20"/>
              </w:rPr>
              <w:instrText xml:space="preserve"> PAGEREF _Toc147507796 \h </w:instrText>
            </w:r>
            <w:r w:rsidRPr="00E0130F">
              <w:rPr>
                <w:noProof/>
                <w:webHidden/>
                <w:sz w:val="20"/>
                <w:szCs w:val="20"/>
              </w:rPr>
            </w:r>
            <w:r w:rsidRPr="00E0130F">
              <w:rPr>
                <w:noProof/>
                <w:webHidden/>
                <w:sz w:val="20"/>
                <w:szCs w:val="20"/>
              </w:rPr>
              <w:fldChar w:fldCharType="separate"/>
            </w:r>
            <w:r w:rsidRPr="00E0130F">
              <w:rPr>
                <w:noProof/>
                <w:webHidden/>
                <w:sz w:val="20"/>
                <w:szCs w:val="20"/>
              </w:rPr>
              <w:t>8</w:t>
            </w:r>
            <w:r w:rsidRPr="00E0130F">
              <w:rPr>
                <w:noProof/>
                <w:webHidden/>
                <w:sz w:val="20"/>
                <w:szCs w:val="20"/>
              </w:rPr>
              <w:fldChar w:fldCharType="end"/>
            </w:r>
          </w:hyperlink>
        </w:p>
        <w:p w14:paraId="0F203B9F" w14:textId="77777777" w:rsidR="00E0130F" w:rsidRPr="00E0130F" w:rsidRDefault="00E0130F" w:rsidP="00E0130F">
          <w:pPr>
            <w:pStyle w:val="11"/>
            <w:snapToGrid w:val="0"/>
            <w:spacing w:before="0" w:afterLines="50" w:after="175" w:line="240" w:lineRule="auto"/>
            <w:rPr>
              <w:rFonts w:eastAsiaTheme="minorEastAsia"/>
              <w:noProof/>
              <w:kern w:val="2"/>
              <w:sz w:val="20"/>
              <w:szCs w:val="20"/>
              <w:lang w:eastAsia="en-AU"/>
              <w14:ligatures w14:val="standardContextual"/>
            </w:rPr>
          </w:pPr>
          <w:hyperlink w:anchor="_Toc147507797" w:history="1">
            <w:r w:rsidRPr="00E0130F">
              <w:rPr>
                <w:rStyle w:val="a7"/>
                <w:noProof/>
                <w:sz w:val="20"/>
                <w:szCs w:val="20"/>
              </w:rPr>
              <w:t>Background and Aim</w:t>
            </w:r>
            <w:r w:rsidRPr="00E0130F">
              <w:rPr>
                <w:noProof/>
                <w:webHidden/>
                <w:sz w:val="20"/>
                <w:szCs w:val="20"/>
              </w:rPr>
              <w:tab/>
            </w:r>
            <w:r w:rsidRPr="00E0130F">
              <w:rPr>
                <w:noProof/>
                <w:webHidden/>
                <w:sz w:val="20"/>
                <w:szCs w:val="20"/>
              </w:rPr>
              <w:fldChar w:fldCharType="begin"/>
            </w:r>
            <w:r w:rsidRPr="00E0130F">
              <w:rPr>
                <w:noProof/>
                <w:webHidden/>
                <w:sz w:val="20"/>
                <w:szCs w:val="20"/>
              </w:rPr>
              <w:instrText xml:space="preserve"> PAGEREF _Toc147507797 \h </w:instrText>
            </w:r>
            <w:r w:rsidRPr="00E0130F">
              <w:rPr>
                <w:noProof/>
                <w:webHidden/>
                <w:sz w:val="20"/>
                <w:szCs w:val="20"/>
              </w:rPr>
            </w:r>
            <w:r w:rsidRPr="00E0130F">
              <w:rPr>
                <w:noProof/>
                <w:webHidden/>
                <w:sz w:val="20"/>
                <w:szCs w:val="20"/>
              </w:rPr>
              <w:fldChar w:fldCharType="separate"/>
            </w:r>
            <w:r w:rsidRPr="00E0130F">
              <w:rPr>
                <w:noProof/>
                <w:webHidden/>
                <w:sz w:val="20"/>
                <w:szCs w:val="20"/>
              </w:rPr>
              <w:t>11</w:t>
            </w:r>
            <w:r w:rsidRPr="00E0130F">
              <w:rPr>
                <w:noProof/>
                <w:webHidden/>
                <w:sz w:val="20"/>
                <w:szCs w:val="20"/>
              </w:rPr>
              <w:fldChar w:fldCharType="end"/>
            </w:r>
          </w:hyperlink>
        </w:p>
        <w:p w14:paraId="629C0B71" w14:textId="77777777" w:rsidR="00E0130F" w:rsidRPr="00E0130F" w:rsidRDefault="00E0130F" w:rsidP="00E0130F">
          <w:pPr>
            <w:pStyle w:val="11"/>
            <w:snapToGrid w:val="0"/>
            <w:spacing w:before="0" w:afterLines="50" w:after="175" w:line="240" w:lineRule="auto"/>
            <w:ind w:left="851" w:hanging="851"/>
            <w:rPr>
              <w:rFonts w:eastAsiaTheme="minorEastAsia"/>
              <w:noProof/>
              <w:kern w:val="2"/>
              <w:sz w:val="20"/>
              <w:szCs w:val="20"/>
              <w:lang w:eastAsia="en-AU"/>
              <w14:ligatures w14:val="standardContextual"/>
            </w:rPr>
          </w:pPr>
          <w:hyperlink w:anchor="_Toc147507798" w:history="1">
            <w:r w:rsidRPr="00E0130F">
              <w:rPr>
                <w:rStyle w:val="a7"/>
                <w:noProof/>
                <w:sz w:val="20"/>
                <w:szCs w:val="20"/>
              </w:rPr>
              <w:t>PART 1: Real world data availability and access, and opportunities for use of RWD for assessments of health technologies in Australia throughout their lifecycle</w:t>
            </w:r>
            <w:r w:rsidRPr="00E0130F">
              <w:rPr>
                <w:noProof/>
                <w:webHidden/>
                <w:sz w:val="20"/>
                <w:szCs w:val="20"/>
              </w:rPr>
              <w:tab/>
            </w:r>
            <w:r w:rsidRPr="00E0130F">
              <w:rPr>
                <w:noProof/>
                <w:webHidden/>
                <w:sz w:val="20"/>
                <w:szCs w:val="20"/>
              </w:rPr>
              <w:fldChar w:fldCharType="begin"/>
            </w:r>
            <w:r w:rsidRPr="00E0130F">
              <w:rPr>
                <w:noProof/>
                <w:webHidden/>
                <w:sz w:val="20"/>
                <w:szCs w:val="20"/>
              </w:rPr>
              <w:instrText xml:space="preserve"> PAGEREF _Toc147507798 \h </w:instrText>
            </w:r>
            <w:r w:rsidRPr="00E0130F">
              <w:rPr>
                <w:noProof/>
                <w:webHidden/>
                <w:sz w:val="20"/>
                <w:szCs w:val="20"/>
              </w:rPr>
            </w:r>
            <w:r w:rsidRPr="00E0130F">
              <w:rPr>
                <w:noProof/>
                <w:webHidden/>
                <w:sz w:val="20"/>
                <w:szCs w:val="20"/>
              </w:rPr>
              <w:fldChar w:fldCharType="separate"/>
            </w:r>
            <w:r w:rsidRPr="00E0130F">
              <w:rPr>
                <w:noProof/>
                <w:webHidden/>
                <w:sz w:val="20"/>
                <w:szCs w:val="20"/>
              </w:rPr>
              <w:t>13</w:t>
            </w:r>
            <w:r w:rsidRPr="00E0130F">
              <w:rPr>
                <w:noProof/>
                <w:webHidden/>
                <w:sz w:val="20"/>
                <w:szCs w:val="20"/>
              </w:rPr>
              <w:fldChar w:fldCharType="end"/>
            </w:r>
          </w:hyperlink>
        </w:p>
        <w:p w14:paraId="176FCF3C" w14:textId="77777777" w:rsidR="00E0130F" w:rsidRPr="00E0130F" w:rsidRDefault="00E0130F" w:rsidP="00E0130F">
          <w:pPr>
            <w:pStyle w:val="11"/>
            <w:snapToGrid w:val="0"/>
            <w:spacing w:before="0" w:afterLines="50" w:after="175" w:line="240" w:lineRule="auto"/>
            <w:rPr>
              <w:rFonts w:eastAsiaTheme="minorEastAsia"/>
              <w:noProof/>
              <w:kern w:val="2"/>
              <w:sz w:val="20"/>
              <w:szCs w:val="20"/>
              <w:lang w:eastAsia="en-AU"/>
              <w14:ligatures w14:val="standardContextual"/>
            </w:rPr>
          </w:pPr>
          <w:hyperlink w:anchor="_Toc147507799" w:history="1">
            <w:r w:rsidRPr="00E0130F">
              <w:rPr>
                <w:rStyle w:val="a7"/>
                <w:noProof/>
                <w:sz w:val="20"/>
                <w:szCs w:val="20"/>
              </w:rPr>
              <w:t>1. Methods</w:t>
            </w:r>
            <w:r w:rsidRPr="00E0130F">
              <w:rPr>
                <w:noProof/>
                <w:webHidden/>
                <w:sz w:val="20"/>
                <w:szCs w:val="20"/>
              </w:rPr>
              <w:tab/>
            </w:r>
            <w:r w:rsidRPr="00E0130F">
              <w:rPr>
                <w:noProof/>
                <w:webHidden/>
                <w:sz w:val="20"/>
                <w:szCs w:val="20"/>
              </w:rPr>
              <w:fldChar w:fldCharType="begin"/>
            </w:r>
            <w:r w:rsidRPr="00E0130F">
              <w:rPr>
                <w:noProof/>
                <w:webHidden/>
                <w:sz w:val="20"/>
                <w:szCs w:val="20"/>
              </w:rPr>
              <w:instrText xml:space="preserve"> PAGEREF _Toc147507799 \h </w:instrText>
            </w:r>
            <w:r w:rsidRPr="00E0130F">
              <w:rPr>
                <w:noProof/>
                <w:webHidden/>
                <w:sz w:val="20"/>
                <w:szCs w:val="20"/>
              </w:rPr>
            </w:r>
            <w:r w:rsidRPr="00E0130F">
              <w:rPr>
                <w:noProof/>
                <w:webHidden/>
                <w:sz w:val="20"/>
                <w:szCs w:val="20"/>
              </w:rPr>
              <w:fldChar w:fldCharType="separate"/>
            </w:r>
            <w:r w:rsidRPr="00E0130F">
              <w:rPr>
                <w:noProof/>
                <w:webHidden/>
                <w:sz w:val="20"/>
                <w:szCs w:val="20"/>
              </w:rPr>
              <w:t>13</w:t>
            </w:r>
            <w:r w:rsidRPr="00E0130F">
              <w:rPr>
                <w:noProof/>
                <w:webHidden/>
                <w:sz w:val="20"/>
                <w:szCs w:val="20"/>
              </w:rPr>
              <w:fldChar w:fldCharType="end"/>
            </w:r>
          </w:hyperlink>
        </w:p>
        <w:p w14:paraId="376DFAD4" w14:textId="77777777" w:rsidR="00E0130F" w:rsidRPr="00E0130F" w:rsidRDefault="00E0130F" w:rsidP="00E0130F">
          <w:pPr>
            <w:pStyle w:val="11"/>
            <w:snapToGrid w:val="0"/>
            <w:spacing w:before="0" w:afterLines="50" w:after="175" w:line="240" w:lineRule="auto"/>
            <w:rPr>
              <w:rFonts w:eastAsiaTheme="minorEastAsia"/>
              <w:noProof/>
              <w:kern w:val="2"/>
              <w:sz w:val="20"/>
              <w:szCs w:val="20"/>
              <w:lang w:eastAsia="en-AU"/>
              <w14:ligatures w14:val="standardContextual"/>
            </w:rPr>
          </w:pPr>
          <w:hyperlink w:anchor="_Toc147507800" w:history="1">
            <w:r w:rsidRPr="00E0130F">
              <w:rPr>
                <w:rStyle w:val="a7"/>
                <w:noProof/>
                <w:sz w:val="20"/>
                <w:szCs w:val="20"/>
              </w:rPr>
              <w:t>2: Findings</w:t>
            </w:r>
            <w:r w:rsidRPr="00E0130F">
              <w:rPr>
                <w:noProof/>
                <w:webHidden/>
                <w:sz w:val="20"/>
                <w:szCs w:val="20"/>
              </w:rPr>
              <w:tab/>
            </w:r>
            <w:r w:rsidRPr="00E0130F">
              <w:rPr>
                <w:noProof/>
                <w:webHidden/>
                <w:sz w:val="20"/>
                <w:szCs w:val="20"/>
              </w:rPr>
              <w:fldChar w:fldCharType="begin"/>
            </w:r>
            <w:r w:rsidRPr="00E0130F">
              <w:rPr>
                <w:noProof/>
                <w:webHidden/>
                <w:sz w:val="20"/>
                <w:szCs w:val="20"/>
              </w:rPr>
              <w:instrText xml:space="preserve"> PAGEREF _Toc147507800 \h </w:instrText>
            </w:r>
            <w:r w:rsidRPr="00E0130F">
              <w:rPr>
                <w:noProof/>
                <w:webHidden/>
                <w:sz w:val="20"/>
                <w:szCs w:val="20"/>
              </w:rPr>
            </w:r>
            <w:r w:rsidRPr="00E0130F">
              <w:rPr>
                <w:noProof/>
                <w:webHidden/>
                <w:sz w:val="20"/>
                <w:szCs w:val="20"/>
              </w:rPr>
              <w:fldChar w:fldCharType="separate"/>
            </w:r>
            <w:r w:rsidRPr="00E0130F">
              <w:rPr>
                <w:noProof/>
                <w:webHidden/>
                <w:sz w:val="20"/>
                <w:szCs w:val="20"/>
              </w:rPr>
              <w:t>16</w:t>
            </w:r>
            <w:r w:rsidRPr="00E0130F">
              <w:rPr>
                <w:noProof/>
                <w:webHidden/>
                <w:sz w:val="20"/>
                <w:szCs w:val="20"/>
              </w:rPr>
              <w:fldChar w:fldCharType="end"/>
            </w:r>
          </w:hyperlink>
        </w:p>
        <w:p w14:paraId="113C5C2D" w14:textId="77777777" w:rsidR="00E0130F" w:rsidRPr="00E0130F" w:rsidRDefault="00E0130F" w:rsidP="00E0130F">
          <w:pPr>
            <w:pStyle w:val="2"/>
            <w:snapToGrid w:val="0"/>
            <w:spacing w:afterLines="50" w:after="175" w:line="240" w:lineRule="auto"/>
            <w:rPr>
              <w:rFonts w:ascii="Calibri" w:hAnsi="Calibri" w:cs="Calibri"/>
              <w:spacing w:val="0"/>
              <w:kern w:val="2"/>
              <w14:ligatures w14:val="standardContextual"/>
            </w:rPr>
          </w:pPr>
          <w:hyperlink w:anchor="_Toc147507801" w:history="1">
            <w:r w:rsidRPr="00E0130F">
              <w:rPr>
                <w:rStyle w:val="a7"/>
                <w:rFonts w:ascii="Calibri" w:hAnsi="Calibri" w:cs="Calibri"/>
              </w:rPr>
              <w:t>2.1: Key global developments in the use of RWD in HTA</w:t>
            </w:r>
            <w:r w:rsidRPr="00E0130F">
              <w:rPr>
                <w:rFonts w:ascii="Calibri" w:hAnsi="Calibri" w:cs="Calibri"/>
                <w:webHidden/>
              </w:rPr>
              <w:tab/>
            </w:r>
            <w:r w:rsidRPr="00E0130F">
              <w:rPr>
                <w:rFonts w:ascii="Calibri" w:hAnsi="Calibri" w:cs="Calibri"/>
                <w:webHidden/>
              </w:rPr>
              <w:fldChar w:fldCharType="begin"/>
            </w:r>
            <w:r w:rsidRPr="00E0130F">
              <w:rPr>
                <w:rFonts w:ascii="Calibri" w:hAnsi="Calibri" w:cs="Calibri"/>
                <w:webHidden/>
              </w:rPr>
              <w:instrText xml:space="preserve"> PAGEREF _Toc147507801 \h </w:instrText>
            </w:r>
            <w:r w:rsidRPr="00E0130F">
              <w:rPr>
                <w:rFonts w:ascii="Calibri" w:hAnsi="Calibri" w:cs="Calibri"/>
                <w:webHidden/>
              </w:rPr>
            </w:r>
            <w:r w:rsidRPr="00E0130F">
              <w:rPr>
                <w:rFonts w:ascii="Calibri" w:hAnsi="Calibri" w:cs="Calibri"/>
                <w:webHidden/>
              </w:rPr>
              <w:fldChar w:fldCharType="separate"/>
            </w:r>
            <w:r w:rsidRPr="00E0130F">
              <w:rPr>
                <w:rFonts w:ascii="Calibri" w:hAnsi="Calibri" w:cs="Calibri"/>
                <w:webHidden/>
              </w:rPr>
              <w:t>16</w:t>
            </w:r>
            <w:r w:rsidRPr="00E0130F">
              <w:rPr>
                <w:rFonts w:ascii="Calibri" w:hAnsi="Calibri" w:cs="Calibri"/>
                <w:webHidden/>
              </w:rPr>
              <w:fldChar w:fldCharType="end"/>
            </w:r>
          </w:hyperlink>
        </w:p>
        <w:p w14:paraId="53A8F6EC" w14:textId="77777777" w:rsidR="00E0130F" w:rsidRPr="00E0130F" w:rsidRDefault="00E0130F" w:rsidP="00E0130F">
          <w:pPr>
            <w:pStyle w:val="2"/>
            <w:snapToGrid w:val="0"/>
            <w:spacing w:afterLines="50" w:after="175" w:line="240" w:lineRule="auto"/>
            <w:ind w:left="851" w:hanging="405"/>
            <w:rPr>
              <w:rFonts w:ascii="Calibri" w:hAnsi="Calibri" w:cs="Calibri"/>
              <w:spacing w:val="0"/>
              <w:kern w:val="2"/>
              <w14:ligatures w14:val="standardContextual"/>
            </w:rPr>
          </w:pPr>
          <w:hyperlink w:anchor="_Toc147507806" w:history="1">
            <w:r w:rsidRPr="00E0130F">
              <w:rPr>
                <w:rStyle w:val="a7"/>
                <w:rFonts w:ascii="Calibri" w:hAnsi="Calibri" w:cs="Calibri"/>
              </w:rPr>
              <w:t>2.2: Sources and types of RWD used to estimate the uptake and performance (assessment) of health technologies in Australia</w:t>
            </w:r>
            <w:r w:rsidRPr="00E0130F">
              <w:rPr>
                <w:rFonts w:ascii="Calibri" w:hAnsi="Calibri" w:cs="Calibri"/>
                <w:webHidden/>
              </w:rPr>
              <w:tab/>
            </w:r>
            <w:r w:rsidRPr="00E0130F">
              <w:rPr>
                <w:rFonts w:ascii="Calibri" w:hAnsi="Calibri" w:cs="Calibri"/>
                <w:webHidden/>
              </w:rPr>
              <w:fldChar w:fldCharType="begin"/>
            </w:r>
            <w:r w:rsidRPr="00E0130F">
              <w:rPr>
                <w:rFonts w:ascii="Calibri" w:hAnsi="Calibri" w:cs="Calibri"/>
                <w:webHidden/>
              </w:rPr>
              <w:instrText xml:space="preserve"> PAGEREF _Toc147507806 \h </w:instrText>
            </w:r>
            <w:r w:rsidRPr="00E0130F">
              <w:rPr>
                <w:rFonts w:ascii="Calibri" w:hAnsi="Calibri" w:cs="Calibri"/>
                <w:webHidden/>
              </w:rPr>
            </w:r>
            <w:r w:rsidRPr="00E0130F">
              <w:rPr>
                <w:rFonts w:ascii="Calibri" w:hAnsi="Calibri" w:cs="Calibri"/>
                <w:webHidden/>
              </w:rPr>
              <w:fldChar w:fldCharType="separate"/>
            </w:r>
            <w:r w:rsidRPr="00E0130F">
              <w:rPr>
                <w:rFonts w:ascii="Calibri" w:hAnsi="Calibri" w:cs="Calibri"/>
                <w:webHidden/>
              </w:rPr>
              <w:t>24</w:t>
            </w:r>
            <w:r w:rsidRPr="00E0130F">
              <w:rPr>
                <w:rFonts w:ascii="Calibri" w:hAnsi="Calibri" w:cs="Calibri"/>
                <w:webHidden/>
              </w:rPr>
              <w:fldChar w:fldCharType="end"/>
            </w:r>
          </w:hyperlink>
        </w:p>
        <w:p w14:paraId="1415AE01" w14:textId="77777777" w:rsidR="00E0130F" w:rsidRPr="00E0130F" w:rsidRDefault="00E0130F" w:rsidP="00E0130F">
          <w:pPr>
            <w:pStyle w:val="2"/>
            <w:snapToGrid w:val="0"/>
            <w:spacing w:afterLines="50" w:after="175" w:line="240" w:lineRule="auto"/>
            <w:rPr>
              <w:rFonts w:ascii="Calibri" w:hAnsi="Calibri" w:cs="Calibri"/>
              <w:spacing w:val="0"/>
              <w:kern w:val="2"/>
              <w14:ligatures w14:val="standardContextual"/>
            </w:rPr>
          </w:pPr>
          <w:hyperlink w:anchor="_Toc147507810" w:history="1">
            <w:r w:rsidRPr="00E0130F">
              <w:rPr>
                <w:rStyle w:val="a7"/>
                <w:rFonts w:ascii="Calibri" w:hAnsi="Calibri" w:cs="Calibri"/>
              </w:rPr>
              <w:t>2.3: Barriers and enablers of access to RWD for HTA in Australia</w:t>
            </w:r>
            <w:r w:rsidRPr="00E0130F">
              <w:rPr>
                <w:rFonts w:ascii="Calibri" w:hAnsi="Calibri" w:cs="Calibri"/>
                <w:webHidden/>
              </w:rPr>
              <w:tab/>
            </w:r>
            <w:r w:rsidRPr="00E0130F">
              <w:rPr>
                <w:rFonts w:ascii="Calibri" w:hAnsi="Calibri" w:cs="Calibri"/>
                <w:webHidden/>
              </w:rPr>
              <w:fldChar w:fldCharType="begin"/>
            </w:r>
            <w:r w:rsidRPr="00E0130F">
              <w:rPr>
                <w:rFonts w:ascii="Calibri" w:hAnsi="Calibri" w:cs="Calibri"/>
                <w:webHidden/>
              </w:rPr>
              <w:instrText xml:space="preserve"> PAGEREF _Toc147507810 \h </w:instrText>
            </w:r>
            <w:r w:rsidRPr="00E0130F">
              <w:rPr>
                <w:rFonts w:ascii="Calibri" w:hAnsi="Calibri" w:cs="Calibri"/>
                <w:webHidden/>
              </w:rPr>
            </w:r>
            <w:r w:rsidRPr="00E0130F">
              <w:rPr>
                <w:rFonts w:ascii="Calibri" w:hAnsi="Calibri" w:cs="Calibri"/>
                <w:webHidden/>
              </w:rPr>
              <w:fldChar w:fldCharType="separate"/>
            </w:r>
            <w:r w:rsidRPr="00E0130F">
              <w:rPr>
                <w:rFonts w:ascii="Calibri" w:hAnsi="Calibri" w:cs="Calibri"/>
                <w:webHidden/>
              </w:rPr>
              <w:t>30</w:t>
            </w:r>
            <w:r w:rsidRPr="00E0130F">
              <w:rPr>
                <w:rFonts w:ascii="Calibri" w:hAnsi="Calibri" w:cs="Calibri"/>
                <w:webHidden/>
              </w:rPr>
              <w:fldChar w:fldCharType="end"/>
            </w:r>
          </w:hyperlink>
        </w:p>
        <w:p w14:paraId="1EC10FEB" w14:textId="77777777" w:rsidR="00E0130F" w:rsidRPr="00E0130F" w:rsidRDefault="00E0130F" w:rsidP="00E0130F">
          <w:pPr>
            <w:pStyle w:val="2"/>
            <w:snapToGrid w:val="0"/>
            <w:spacing w:afterLines="50" w:after="175" w:line="240" w:lineRule="auto"/>
            <w:ind w:left="851" w:hanging="405"/>
            <w:rPr>
              <w:rFonts w:ascii="Calibri" w:hAnsi="Calibri" w:cs="Calibri"/>
              <w:spacing w:val="0"/>
              <w:kern w:val="2"/>
              <w14:ligatures w14:val="standardContextual"/>
            </w:rPr>
          </w:pPr>
          <w:hyperlink w:anchor="_Toc147507814" w:history="1">
            <w:r w:rsidRPr="00E0130F">
              <w:rPr>
                <w:rStyle w:val="a7"/>
                <w:rFonts w:ascii="Calibri" w:hAnsi="Calibri" w:cs="Calibri"/>
              </w:rPr>
              <w:t>2.4: Sources and types of RWD that will be needed to estimate the uptake and performance of health technologies into the future</w:t>
            </w:r>
            <w:r w:rsidRPr="00E0130F">
              <w:rPr>
                <w:rFonts w:ascii="Calibri" w:hAnsi="Calibri" w:cs="Calibri"/>
                <w:webHidden/>
              </w:rPr>
              <w:tab/>
            </w:r>
            <w:r w:rsidRPr="00E0130F">
              <w:rPr>
                <w:rFonts w:ascii="Calibri" w:hAnsi="Calibri" w:cs="Calibri"/>
                <w:webHidden/>
              </w:rPr>
              <w:fldChar w:fldCharType="begin"/>
            </w:r>
            <w:r w:rsidRPr="00E0130F">
              <w:rPr>
                <w:rFonts w:ascii="Calibri" w:hAnsi="Calibri" w:cs="Calibri"/>
                <w:webHidden/>
              </w:rPr>
              <w:instrText xml:space="preserve"> PAGEREF _Toc147507814 \h </w:instrText>
            </w:r>
            <w:r w:rsidRPr="00E0130F">
              <w:rPr>
                <w:rFonts w:ascii="Calibri" w:hAnsi="Calibri" w:cs="Calibri"/>
                <w:webHidden/>
              </w:rPr>
            </w:r>
            <w:r w:rsidRPr="00E0130F">
              <w:rPr>
                <w:rFonts w:ascii="Calibri" w:hAnsi="Calibri" w:cs="Calibri"/>
                <w:webHidden/>
              </w:rPr>
              <w:fldChar w:fldCharType="separate"/>
            </w:r>
            <w:r w:rsidRPr="00E0130F">
              <w:rPr>
                <w:rFonts w:ascii="Calibri" w:hAnsi="Calibri" w:cs="Calibri"/>
                <w:webHidden/>
              </w:rPr>
              <w:t>35</w:t>
            </w:r>
            <w:r w:rsidRPr="00E0130F">
              <w:rPr>
                <w:rFonts w:ascii="Calibri" w:hAnsi="Calibri" w:cs="Calibri"/>
                <w:webHidden/>
              </w:rPr>
              <w:fldChar w:fldCharType="end"/>
            </w:r>
          </w:hyperlink>
        </w:p>
        <w:p w14:paraId="6F8C5CA5" w14:textId="77777777" w:rsidR="00E0130F" w:rsidRPr="00E0130F" w:rsidRDefault="00E0130F" w:rsidP="00E0130F">
          <w:pPr>
            <w:pStyle w:val="2"/>
            <w:snapToGrid w:val="0"/>
            <w:spacing w:afterLines="50" w:after="175" w:line="240" w:lineRule="auto"/>
            <w:ind w:left="851" w:hanging="405"/>
            <w:rPr>
              <w:rFonts w:ascii="Calibri" w:hAnsi="Calibri" w:cs="Calibri"/>
              <w:spacing w:val="0"/>
              <w:kern w:val="2"/>
              <w14:ligatures w14:val="standardContextual"/>
            </w:rPr>
          </w:pPr>
          <w:hyperlink w:anchor="_Toc147507815" w:history="1">
            <w:r w:rsidRPr="00E0130F">
              <w:rPr>
                <w:rStyle w:val="a7"/>
                <w:rFonts w:ascii="Calibri" w:hAnsi="Calibri" w:cs="Calibri"/>
              </w:rPr>
              <w:t>2.5: Overview of the options for Part 1 of this paper: Opportunities to optimise the availability and use of RWD to support HTA in Australia</w:t>
            </w:r>
            <w:r w:rsidRPr="00E0130F">
              <w:rPr>
                <w:rFonts w:ascii="Calibri" w:hAnsi="Calibri" w:cs="Calibri"/>
                <w:webHidden/>
              </w:rPr>
              <w:tab/>
            </w:r>
            <w:r w:rsidRPr="00E0130F">
              <w:rPr>
                <w:rFonts w:ascii="Calibri" w:hAnsi="Calibri" w:cs="Calibri"/>
                <w:webHidden/>
              </w:rPr>
              <w:fldChar w:fldCharType="begin"/>
            </w:r>
            <w:r w:rsidRPr="00E0130F">
              <w:rPr>
                <w:rFonts w:ascii="Calibri" w:hAnsi="Calibri" w:cs="Calibri"/>
                <w:webHidden/>
              </w:rPr>
              <w:instrText xml:space="preserve"> PAGEREF _Toc147507815 \h </w:instrText>
            </w:r>
            <w:r w:rsidRPr="00E0130F">
              <w:rPr>
                <w:rFonts w:ascii="Calibri" w:hAnsi="Calibri" w:cs="Calibri"/>
                <w:webHidden/>
              </w:rPr>
            </w:r>
            <w:r w:rsidRPr="00E0130F">
              <w:rPr>
                <w:rFonts w:ascii="Calibri" w:hAnsi="Calibri" w:cs="Calibri"/>
                <w:webHidden/>
              </w:rPr>
              <w:fldChar w:fldCharType="separate"/>
            </w:r>
            <w:r w:rsidRPr="00E0130F">
              <w:rPr>
                <w:rFonts w:ascii="Calibri" w:hAnsi="Calibri" w:cs="Calibri"/>
                <w:webHidden/>
              </w:rPr>
              <w:t>38</w:t>
            </w:r>
            <w:r w:rsidRPr="00E0130F">
              <w:rPr>
                <w:rFonts w:ascii="Calibri" w:hAnsi="Calibri" w:cs="Calibri"/>
                <w:webHidden/>
              </w:rPr>
              <w:fldChar w:fldCharType="end"/>
            </w:r>
          </w:hyperlink>
        </w:p>
        <w:p w14:paraId="76CB2192" w14:textId="77777777" w:rsidR="00E0130F" w:rsidRPr="00E0130F" w:rsidRDefault="00E0130F" w:rsidP="00E0130F">
          <w:pPr>
            <w:pStyle w:val="11"/>
            <w:snapToGrid w:val="0"/>
            <w:spacing w:before="0" w:afterLines="50" w:after="175" w:line="240" w:lineRule="auto"/>
            <w:ind w:left="851" w:hanging="851"/>
            <w:rPr>
              <w:rFonts w:eastAsiaTheme="minorEastAsia"/>
              <w:noProof/>
              <w:kern w:val="2"/>
              <w:sz w:val="20"/>
              <w:szCs w:val="20"/>
              <w:lang w:eastAsia="en-AU"/>
              <w14:ligatures w14:val="standardContextual"/>
            </w:rPr>
          </w:pPr>
          <w:hyperlink w:anchor="_Toc147507816" w:history="1">
            <w:r w:rsidRPr="00E0130F">
              <w:rPr>
                <w:rStyle w:val="a7"/>
                <w:noProof/>
                <w:sz w:val="20"/>
                <w:szCs w:val="20"/>
              </w:rPr>
              <w:t>PART 2: Roadmap for optimising the availability and use of RWD to generate robust RWE to support the HTA lifecycle in Australia.</w:t>
            </w:r>
            <w:r w:rsidRPr="00E0130F">
              <w:rPr>
                <w:noProof/>
                <w:webHidden/>
                <w:sz w:val="20"/>
                <w:szCs w:val="20"/>
              </w:rPr>
              <w:tab/>
            </w:r>
            <w:r w:rsidRPr="00E0130F">
              <w:rPr>
                <w:noProof/>
                <w:webHidden/>
                <w:sz w:val="20"/>
                <w:szCs w:val="20"/>
              </w:rPr>
              <w:fldChar w:fldCharType="begin"/>
            </w:r>
            <w:r w:rsidRPr="00E0130F">
              <w:rPr>
                <w:noProof/>
                <w:webHidden/>
                <w:sz w:val="20"/>
                <w:szCs w:val="20"/>
              </w:rPr>
              <w:instrText xml:space="preserve"> PAGEREF _Toc147507816 \h </w:instrText>
            </w:r>
            <w:r w:rsidRPr="00E0130F">
              <w:rPr>
                <w:noProof/>
                <w:webHidden/>
                <w:sz w:val="20"/>
                <w:szCs w:val="20"/>
              </w:rPr>
            </w:r>
            <w:r w:rsidRPr="00E0130F">
              <w:rPr>
                <w:noProof/>
                <w:webHidden/>
                <w:sz w:val="20"/>
                <w:szCs w:val="20"/>
              </w:rPr>
              <w:fldChar w:fldCharType="separate"/>
            </w:r>
            <w:r w:rsidRPr="00E0130F">
              <w:rPr>
                <w:noProof/>
                <w:webHidden/>
                <w:sz w:val="20"/>
                <w:szCs w:val="20"/>
              </w:rPr>
              <w:t>41</w:t>
            </w:r>
            <w:r w:rsidRPr="00E0130F">
              <w:rPr>
                <w:noProof/>
                <w:webHidden/>
                <w:sz w:val="20"/>
                <w:szCs w:val="20"/>
              </w:rPr>
              <w:fldChar w:fldCharType="end"/>
            </w:r>
          </w:hyperlink>
        </w:p>
        <w:p w14:paraId="69D3D326" w14:textId="77777777" w:rsidR="00E0130F" w:rsidRPr="00E0130F" w:rsidRDefault="00E0130F" w:rsidP="00E0130F">
          <w:pPr>
            <w:pStyle w:val="11"/>
            <w:snapToGrid w:val="0"/>
            <w:spacing w:before="0" w:afterLines="50" w:after="175" w:line="240" w:lineRule="auto"/>
            <w:rPr>
              <w:rFonts w:eastAsiaTheme="minorEastAsia"/>
              <w:noProof/>
              <w:kern w:val="2"/>
              <w:sz w:val="20"/>
              <w:szCs w:val="20"/>
              <w:lang w:eastAsia="en-AU"/>
              <w14:ligatures w14:val="standardContextual"/>
            </w:rPr>
          </w:pPr>
          <w:hyperlink w:anchor="_Toc147507817" w:history="1">
            <w:r w:rsidRPr="00E0130F">
              <w:rPr>
                <w:rStyle w:val="a7"/>
                <w:noProof/>
                <w:sz w:val="20"/>
                <w:szCs w:val="20"/>
              </w:rPr>
              <w:t>References</w:t>
            </w:r>
            <w:r w:rsidRPr="00E0130F">
              <w:rPr>
                <w:noProof/>
                <w:webHidden/>
                <w:sz w:val="20"/>
                <w:szCs w:val="20"/>
              </w:rPr>
              <w:tab/>
            </w:r>
            <w:r w:rsidRPr="00E0130F">
              <w:rPr>
                <w:noProof/>
                <w:webHidden/>
                <w:sz w:val="20"/>
                <w:szCs w:val="20"/>
              </w:rPr>
              <w:fldChar w:fldCharType="begin"/>
            </w:r>
            <w:r w:rsidRPr="00E0130F">
              <w:rPr>
                <w:noProof/>
                <w:webHidden/>
                <w:sz w:val="20"/>
                <w:szCs w:val="20"/>
              </w:rPr>
              <w:instrText xml:space="preserve"> PAGEREF _Toc147507817 \h </w:instrText>
            </w:r>
            <w:r w:rsidRPr="00E0130F">
              <w:rPr>
                <w:noProof/>
                <w:webHidden/>
                <w:sz w:val="20"/>
                <w:szCs w:val="20"/>
              </w:rPr>
            </w:r>
            <w:r w:rsidRPr="00E0130F">
              <w:rPr>
                <w:noProof/>
                <w:webHidden/>
                <w:sz w:val="20"/>
                <w:szCs w:val="20"/>
              </w:rPr>
              <w:fldChar w:fldCharType="separate"/>
            </w:r>
            <w:r w:rsidRPr="00E0130F">
              <w:rPr>
                <w:noProof/>
                <w:webHidden/>
                <w:sz w:val="20"/>
                <w:szCs w:val="20"/>
              </w:rPr>
              <w:t>48</w:t>
            </w:r>
            <w:r w:rsidRPr="00E0130F">
              <w:rPr>
                <w:noProof/>
                <w:webHidden/>
                <w:sz w:val="20"/>
                <w:szCs w:val="20"/>
              </w:rPr>
              <w:fldChar w:fldCharType="end"/>
            </w:r>
          </w:hyperlink>
        </w:p>
        <w:p w14:paraId="7E585568" w14:textId="77777777" w:rsidR="00E0130F" w:rsidRPr="00E0130F" w:rsidRDefault="00E0130F" w:rsidP="00E0130F">
          <w:pPr>
            <w:pStyle w:val="11"/>
            <w:snapToGrid w:val="0"/>
            <w:spacing w:before="0" w:afterLines="50" w:after="175" w:line="240" w:lineRule="auto"/>
            <w:rPr>
              <w:rFonts w:eastAsiaTheme="minorEastAsia"/>
              <w:noProof/>
              <w:kern w:val="2"/>
              <w:sz w:val="20"/>
              <w:szCs w:val="20"/>
              <w:lang w:eastAsia="en-AU"/>
              <w14:ligatures w14:val="standardContextual"/>
            </w:rPr>
          </w:pPr>
          <w:hyperlink w:anchor="_Toc147507818" w:history="1">
            <w:r w:rsidRPr="00E0130F">
              <w:rPr>
                <w:rStyle w:val="a7"/>
                <w:noProof/>
                <w:sz w:val="20"/>
                <w:szCs w:val="20"/>
              </w:rPr>
              <w:t>APPENDIX A: Bibliography of key resources and literature</w:t>
            </w:r>
            <w:r w:rsidRPr="00E0130F">
              <w:rPr>
                <w:noProof/>
                <w:webHidden/>
                <w:sz w:val="20"/>
                <w:szCs w:val="20"/>
              </w:rPr>
              <w:tab/>
            </w:r>
            <w:r w:rsidRPr="00E0130F">
              <w:rPr>
                <w:noProof/>
                <w:webHidden/>
                <w:sz w:val="20"/>
                <w:szCs w:val="20"/>
              </w:rPr>
              <w:fldChar w:fldCharType="begin"/>
            </w:r>
            <w:r w:rsidRPr="00E0130F">
              <w:rPr>
                <w:noProof/>
                <w:webHidden/>
                <w:sz w:val="20"/>
                <w:szCs w:val="20"/>
              </w:rPr>
              <w:instrText xml:space="preserve"> PAGEREF _Toc147507818 \h </w:instrText>
            </w:r>
            <w:r w:rsidRPr="00E0130F">
              <w:rPr>
                <w:noProof/>
                <w:webHidden/>
                <w:sz w:val="20"/>
                <w:szCs w:val="20"/>
              </w:rPr>
            </w:r>
            <w:r w:rsidRPr="00E0130F">
              <w:rPr>
                <w:noProof/>
                <w:webHidden/>
                <w:sz w:val="20"/>
                <w:szCs w:val="20"/>
              </w:rPr>
              <w:fldChar w:fldCharType="separate"/>
            </w:r>
            <w:r w:rsidRPr="00E0130F">
              <w:rPr>
                <w:noProof/>
                <w:webHidden/>
                <w:sz w:val="20"/>
                <w:szCs w:val="20"/>
              </w:rPr>
              <w:t>53</w:t>
            </w:r>
            <w:r w:rsidRPr="00E0130F">
              <w:rPr>
                <w:noProof/>
                <w:webHidden/>
                <w:sz w:val="20"/>
                <w:szCs w:val="20"/>
              </w:rPr>
              <w:fldChar w:fldCharType="end"/>
            </w:r>
          </w:hyperlink>
        </w:p>
        <w:p w14:paraId="1DD1799C" w14:textId="77777777" w:rsidR="00E0130F" w:rsidRPr="00E0130F" w:rsidRDefault="00E0130F" w:rsidP="00E0130F">
          <w:pPr>
            <w:pStyle w:val="11"/>
            <w:snapToGrid w:val="0"/>
            <w:spacing w:before="0" w:afterLines="50" w:after="175" w:line="240" w:lineRule="auto"/>
            <w:rPr>
              <w:rFonts w:eastAsiaTheme="minorEastAsia"/>
              <w:noProof/>
              <w:kern w:val="2"/>
              <w:sz w:val="20"/>
              <w:szCs w:val="20"/>
              <w:lang w:eastAsia="en-AU"/>
              <w14:ligatures w14:val="standardContextual"/>
            </w:rPr>
          </w:pPr>
          <w:hyperlink w:anchor="_Toc147507825" w:history="1">
            <w:r w:rsidRPr="00E0130F">
              <w:rPr>
                <w:rStyle w:val="a7"/>
                <w:noProof/>
                <w:sz w:val="20"/>
                <w:szCs w:val="20"/>
              </w:rPr>
              <w:t>APPENDIX B: Sources and types of Australian RWD</w:t>
            </w:r>
            <w:r w:rsidRPr="00E0130F">
              <w:rPr>
                <w:noProof/>
                <w:webHidden/>
                <w:sz w:val="20"/>
                <w:szCs w:val="20"/>
              </w:rPr>
              <w:tab/>
            </w:r>
            <w:r w:rsidRPr="00E0130F">
              <w:rPr>
                <w:noProof/>
                <w:webHidden/>
                <w:sz w:val="20"/>
                <w:szCs w:val="20"/>
              </w:rPr>
              <w:fldChar w:fldCharType="begin"/>
            </w:r>
            <w:r w:rsidRPr="00E0130F">
              <w:rPr>
                <w:noProof/>
                <w:webHidden/>
                <w:sz w:val="20"/>
                <w:szCs w:val="20"/>
              </w:rPr>
              <w:instrText xml:space="preserve"> PAGEREF _Toc147507825 \h </w:instrText>
            </w:r>
            <w:r w:rsidRPr="00E0130F">
              <w:rPr>
                <w:noProof/>
                <w:webHidden/>
                <w:sz w:val="20"/>
                <w:szCs w:val="20"/>
              </w:rPr>
            </w:r>
            <w:r w:rsidRPr="00E0130F">
              <w:rPr>
                <w:noProof/>
                <w:webHidden/>
                <w:sz w:val="20"/>
                <w:szCs w:val="20"/>
              </w:rPr>
              <w:fldChar w:fldCharType="separate"/>
            </w:r>
            <w:r w:rsidRPr="00E0130F">
              <w:rPr>
                <w:noProof/>
                <w:webHidden/>
                <w:sz w:val="20"/>
                <w:szCs w:val="20"/>
              </w:rPr>
              <w:t>59</w:t>
            </w:r>
            <w:r w:rsidRPr="00E0130F">
              <w:rPr>
                <w:noProof/>
                <w:webHidden/>
                <w:sz w:val="20"/>
                <w:szCs w:val="20"/>
              </w:rPr>
              <w:fldChar w:fldCharType="end"/>
            </w:r>
          </w:hyperlink>
        </w:p>
        <w:p w14:paraId="08330ED9" w14:textId="77777777" w:rsidR="00E0130F" w:rsidRPr="00E0130F" w:rsidRDefault="00E0130F" w:rsidP="00E0130F">
          <w:pPr>
            <w:pStyle w:val="11"/>
            <w:snapToGrid w:val="0"/>
            <w:spacing w:before="0" w:afterLines="50" w:after="175" w:line="240" w:lineRule="auto"/>
            <w:rPr>
              <w:rFonts w:eastAsiaTheme="minorEastAsia"/>
              <w:noProof/>
              <w:kern w:val="2"/>
              <w:sz w:val="20"/>
              <w:szCs w:val="20"/>
              <w:lang w:eastAsia="en-AU"/>
              <w14:ligatures w14:val="standardContextual"/>
            </w:rPr>
          </w:pPr>
          <w:hyperlink w:anchor="_Toc147507827" w:history="1">
            <w:r w:rsidRPr="00E0130F">
              <w:rPr>
                <w:rStyle w:val="a7"/>
                <w:noProof/>
                <w:sz w:val="20"/>
                <w:szCs w:val="20"/>
              </w:rPr>
              <w:t>APPENDIX C: Barriers and enablers of access to RWD for HTA in Australia</w:t>
            </w:r>
            <w:r w:rsidRPr="00E0130F">
              <w:rPr>
                <w:noProof/>
                <w:webHidden/>
                <w:sz w:val="20"/>
                <w:szCs w:val="20"/>
              </w:rPr>
              <w:tab/>
            </w:r>
            <w:r w:rsidRPr="00E0130F">
              <w:rPr>
                <w:noProof/>
                <w:webHidden/>
                <w:sz w:val="20"/>
                <w:szCs w:val="20"/>
              </w:rPr>
              <w:fldChar w:fldCharType="begin"/>
            </w:r>
            <w:r w:rsidRPr="00E0130F">
              <w:rPr>
                <w:noProof/>
                <w:webHidden/>
                <w:sz w:val="20"/>
                <w:szCs w:val="20"/>
              </w:rPr>
              <w:instrText xml:space="preserve"> PAGEREF _Toc147507827 \h </w:instrText>
            </w:r>
            <w:r w:rsidRPr="00E0130F">
              <w:rPr>
                <w:noProof/>
                <w:webHidden/>
                <w:sz w:val="20"/>
                <w:szCs w:val="20"/>
              </w:rPr>
            </w:r>
            <w:r w:rsidRPr="00E0130F">
              <w:rPr>
                <w:noProof/>
                <w:webHidden/>
                <w:sz w:val="20"/>
                <w:szCs w:val="20"/>
              </w:rPr>
              <w:fldChar w:fldCharType="separate"/>
            </w:r>
            <w:r w:rsidRPr="00E0130F">
              <w:rPr>
                <w:noProof/>
                <w:webHidden/>
                <w:sz w:val="20"/>
                <w:szCs w:val="20"/>
              </w:rPr>
              <w:t>63</w:t>
            </w:r>
            <w:r w:rsidRPr="00E0130F">
              <w:rPr>
                <w:noProof/>
                <w:webHidden/>
                <w:sz w:val="20"/>
                <w:szCs w:val="20"/>
              </w:rPr>
              <w:fldChar w:fldCharType="end"/>
            </w:r>
          </w:hyperlink>
        </w:p>
        <w:p w14:paraId="29CD3EA6" w14:textId="77777777" w:rsidR="00E0130F" w:rsidRDefault="00E0130F" w:rsidP="00E0130F">
          <w:pPr>
            <w:snapToGrid w:val="0"/>
            <w:spacing w:afterLines="50" w:after="175" w:line="240" w:lineRule="auto"/>
          </w:pPr>
          <w:r w:rsidRPr="00E0130F">
            <w:rPr>
              <w:b/>
              <w:bCs/>
              <w:sz w:val="18"/>
              <w:szCs w:val="21"/>
            </w:rPr>
            <w:fldChar w:fldCharType="end"/>
          </w:r>
        </w:p>
      </w:sdtContent>
    </w:sdt>
    <w:p w14:paraId="042CA013" w14:textId="77777777" w:rsidR="00E0130F" w:rsidRDefault="00E0130F" w:rsidP="00E0130F">
      <w:pPr>
        <w:snapToGrid w:val="0"/>
        <w:spacing w:afterLines="50" w:after="175" w:line="240" w:lineRule="auto"/>
        <w:rPr>
          <w:rFonts w:hint="eastAsia"/>
          <w:b/>
          <w:bCs/>
          <w:sz w:val="24"/>
          <w:szCs w:val="32"/>
        </w:rPr>
      </w:pPr>
    </w:p>
    <w:p w14:paraId="073AA297" w14:textId="77777777" w:rsidR="00E0130F" w:rsidRDefault="00E0130F">
      <w:pPr>
        <w:widowControl/>
        <w:rPr>
          <w:rFonts w:asciiTheme="majorHAnsi" w:eastAsiaTheme="majorEastAsia" w:hAnsiTheme="majorHAnsi" w:cstheme="majorBidi"/>
          <w:b/>
          <w:bCs/>
          <w:color w:val="024D75"/>
          <w:spacing w:val="-1"/>
          <w:kern w:val="0"/>
          <w:sz w:val="32"/>
          <w:lang w:val="en-AU" w:eastAsia="en-AU"/>
          <w14:ligatures w14:val="none"/>
        </w:rPr>
      </w:pPr>
      <w:bookmarkStart w:id="0" w:name="_Toc147507796"/>
      <w:r>
        <w:rPr>
          <w:sz w:val="32"/>
        </w:rPr>
        <w:br w:type="page"/>
      </w:r>
    </w:p>
    <w:p w14:paraId="473DD48A" w14:textId="58BA8985" w:rsidR="00505422" w:rsidRPr="00505422" w:rsidRDefault="00505422" w:rsidP="00505422">
      <w:pPr>
        <w:pStyle w:val="1"/>
        <w:rPr>
          <w:sz w:val="32"/>
          <w:szCs w:val="24"/>
        </w:rPr>
      </w:pPr>
      <w:r w:rsidRPr="00505422">
        <w:rPr>
          <w:sz w:val="32"/>
          <w:szCs w:val="24"/>
        </w:rPr>
        <w:lastRenderedPageBreak/>
        <w:t>Executive Summary</w:t>
      </w:r>
      <w:bookmarkEnd w:id="0"/>
    </w:p>
    <w:p w14:paraId="725237C1" w14:textId="386718BC" w:rsidR="00817928" w:rsidRDefault="00817928" w:rsidP="00817928">
      <w:pPr>
        <w:spacing w:after="200"/>
      </w:pPr>
      <w:r>
        <w:rPr>
          <w:rFonts w:hint="eastAsia"/>
        </w:rPr>
        <w:t>R</w:t>
      </w:r>
      <w:r w:rsidRPr="00817928">
        <w:t>eal world data</w:t>
      </w:r>
      <w:r>
        <w:rPr>
          <w:rFonts w:hint="eastAsia"/>
        </w:rPr>
        <w:t>（</w:t>
      </w:r>
      <w:r>
        <w:rPr>
          <w:rFonts w:hint="eastAsia"/>
        </w:rPr>
        <w:t>RWD</w:t>
      </w:r>
      <w:r>
        <w:rPr>
          <w:rFonts w:hint="eastAsia"/>
        </w:rPr>
        <w:t>）の分析から得られる</w:t>
      </w:r>
      <w:r>
        <w:rPr>
          <w:rFonts w:hint="eastAsia"/>
        </w:rPr>
        <w:t>r</w:t>
      </w:r>
      <w:r w:rsidRPr="00817928">
        <w:t>eal world evidence</w:t>
      </w:r>
      <w:r>
        <w:rPr>
          <w:rFonts w:hint="eastAsia"/>
        </w:rPr>
        <w:t>（</w:t>
      </w:r>
      <w:r>
        <w:rPr>
          <w:rFonts w:hint="eastAsia"/>
        </w:rPr>
        <w:t>RWE</w:t>
      </w:r>
      <w:r>
        <w:rPr>
          <w:rFonts w:hint="eastAsia"/>
        </w:rPr>
        <w:t>）は、医療技術評価（</w:t>
      </w:r>
      <w:r>
        <w:rPr>
          <w:rFonts w:hint="eastAsia"/>
        </w:rPr>
        <w:t>HTA</w:t>
      </w:r>
      <w:r>
        <w:rPr>
          <w:rFonts w:hint="eastAsia"/>
        </w:rPr>
        <w:t>）の一環として、市場承認や補助金承認など、医療技術パイプライン全体における意思決定者のエビデンス・ニーズをサポートする上で重要な役割を果たしている。本レポートは</w:t>
      </w:r>
      <w:r>
        <w:rPr>
          <w:rFonts w:hint="eastAsia"/>
        </w:rPr>
        <w:t>2</w:t>
      </w:r>
      <w:r>
        <w:rPr>
          <w:rFonts w:hint="eastAsia"/>
        </w:rPr>
        <w:t>部構成となっており、</w:t>
      </w:r>
      <w:r>
        <w:rPr>
          <w:rFonts w:hint="eastAsia"/>
        </w:rPr>
        <w:t xml:space="preserve">RWD </w:t>
      </w:r>
      <w:r>
        <w:rPr>
          <w:rFonts w:hint="eastAsia"/>
        </w:rPr>
        <w:t>の入手可能性とアクセスに関する現在の「状況」の概要を説明し、オーストラリアの</w:t>
      </w:r>
      <w:r>
        <w:rPr>
          <w:rFonts w:hint="eastAsia"/>
        </w:rPr>
        <w:t xml:space="preserve"> HTA </w:t>
      </w:r>
      <w:r>
        <w:rPr>
          <w:rFonts w:hint="eastAsia"/>
        </w:rPr>
        <w:t>を支援するために</w:t>
      </w:r>
      <w:r>
        <w:rPr>
          <w:rFonts w:hint="eastAsia"/>
        </w:rPr>
        <w:t xml:space="preserve"> RWD </w:t>
      </w:r>
      <w:r>
        <w:rPr>
          <w:rFonts w:hint="eastAsia"/>
        </w:rPr>
        <w:t>と</w:t>
      </w:r>
      <w:r>
        <w:rPr>
          <w:rFonts w:hint="eastAsia"/>
        </w:rPr>
        <w:t xml:space="preserve"> RWE </w:t>
      </w:r>
      <w:r>
        <w:rPr>
          <w:rFonts w:hint="eastAsia"/>
        </w:rPr>
        <w:t>の利用を最適化する機会を特定している。また、これらの機会を実現するための短期、中期、長期の段階的なステップを提示している。特に、医薬品給付制度（</w:t>
      </w:r>
      <w:r w:rsidRPr="00817928">
        <w:t>Pharmaceutical Benefits Scheme</w:t>
      </w:r>
      <w:r w:rsidRPr="00817928">
        <w:rPr>
          <w:rFonts w:hint="eastAsia"/>
        </w:rPr>
        <w:t xml:space="preserve"> </w:t>
      </w:r>
      <w:r>
        <w:rPr>
          <w:rFonts w:hint="eastAsia"/>
        </w:rPr>
        <w:t>：</w:t>
      </w:r>
      <w:r>
        <w:rPr>
          <w:rFonts w:hint="eastAsia"/>
        </w:rPr>
        <w:t>PBS</w:t>
      </w:r>
      <w:r>
        <w:rPr>
          <w:rFonts w:hint="eastAsia"/>
        </w:rPr>
        <w:t>）への医薬品およびワクチンのリストアップ、およびメディケア給付制度（</w:t>
      </w:r>
      <w:r w:rsidRPr="00817928">
        <w:t>Medicare Benefits Scheme</w:t>
      </w:r>
      <w:r>
        <w:rPr>
          <w:rFonts w:hint="eastAsia"/>
        </w:rPr>
        <w:t>：</w:t>
      </w:r>
      <w:r>
        <w:rPr>
          <w:rFonts w:hint="eastAsia"/>
        </w:rPr>
        <w:t>MBS</w:t>
      </w:r>
      <w:r>
        <w:rPr>
          <w:rFonts w:hint="eastAsia"/>
        </w:rPr>
        <w:t>）への関連技術のリストアップのための</w:t>
      </w:r>
      <w:r>
        <w:rPr>
          <w:rFonts w:hint="eastAsia"/>
        </w:rPr>
        <w:t>HTA</w:t>
      </w:r>
      <w:r>
        <w:rPr>
          <w:rFonts w:hint="eastAsia"/>
        </w:rPr>
        <w:t>に焦点を当てている。</w:t>
      </w:r>
    </w:p>
    <w:p w14:paraId="5D660E37" w14:textId="5731D3AF" w:rsidR="00505422" w:rsidRPr="00C641CC" w:rsidRDefault="00817928" w:rsidP="00817928">
      <w:pPr>
        <w:spacing w:after="200"/>
      </w:pPr>
      <w:r>
        <w:rPr>
          <w:rFonts w:hint="eastAsia"/>
        </w:rPr>
        <w:t xml:space="preserve">RWE </w:t>
      </w:r>
      <w:r>
        <w:rPr>
          <w:rFonts w:hint="eastAsia"/>
        </w:rPr>
        <w:t>の開発は、規制当局や保険者による意思決定のグローバルな文脈の中で急速に進展している。</w:t>
      </w:r>
      <w:r>
        <w:rPr>
          <w:rFonts w:hint="eastAsia"/>
        </w:rPr>
        <w:t xml:space="preserve">RWE </w:t>
      </w:r>
      <w:r>
        <w:rPr>
          <w:rFonts w:hint="eastAsia"/>
        </w:rPr>
        <w:t>は従来から使用されており、特定の疾患の発生率や有病率を推定し、医療技術がリストアップされる前の治療状況を説明し、リストアップ後のモニタリングや監視において、今後も</w:t>
      </w:r>
      <w:r>
        <w:rPr>
          <w:rFonts w:hint="eastAsia"/>
        </w:rPr>
        <w:t xml:space="preserve"> HTA </w:t>
      </w:r>
      <w:r>
        <w:rPr>
          <w:rFonts w:hint="eastAsia"/>
        </w:rPr>
        <w:t>において重要な役割を果たし続けるだろう。さらに、ランダム化臨床試験（</w:t>
      </w:r>
      <w:r>
        <w:rPr>
          <w:rFonts w:hint="eastAsia"/>
        </w:rPr>
        <w:t>RCT</w:t>
      </w:r>
      <w:r>
        <w:rPr>
          <w:rFonts w:hint="eastAsia"/>
        </w:rPr>
        <w:t>）によるエビデンスの質と入手可能性に関連して、</w:t>
      </w:r>
      <w:r>
        <w:rPr>
          <w:rFonts w:hint="eastAsia"/>
        </w:rPr>
        <w:t>RWD/RWE</w:t>
      </w:r>
      <w:r>
        <w:rPr>
          <w:rFonts w:hint="eastAsia"/>
        </w:rPr>
        <w:t>がさらに活用される可能性がある</w:t>
      </w:r>
      <w:r>
        <w:rPr>
          <w:rFonts w:hint="eastAsia"/>
        </w:rPr>
        <w:t>3</w:t>
      </w:r>
      <w:r>
        <w:rPr>
          <w:rFonts w:hint="eastAsia"/>
        </w:rPr>
        <w:t>つのシナリオがある。これらのシナリオには、</w:t>
      </w:r>
      <w:r>
        <w:rPr>
          <w:rFonts w:hint="eastAsia"/>
        </w:rPr>
        <w:t>RCT</w:t>
      </w:r>
      <w:r>
        <w:rPr>
          <w:rFonts w:hint="eastAsia"/>
        </w:rPr>
        <w:t>のエビデンスが、償還対象リストへの登録を裏付けるのに十分、不十分、または入手不可能であるとみなされる場合が含まれる（図）。</w:t>
      </w:r>
      <w:r>
        <w:rPr>
          <w:rFonts w:hint="eastAsia"/>
        </w:rPr>
        <w:t>RWE</w:t>
      </w:r>
      <w:r>
        <w:rPr>
          <w:rFonts w:hint="eastAsia"/>
        </w:rPr>
        <w:t>は、後者の</w:t>
      </w:r>
      <w:r>
        <w:rPr>
          <w:rFonts w:hint="eastAsia"/>
        </w:rPr>
        <w:t>2</w:t>
      </w:r>
      <w:r>
        <w:rPr>
          <w:rFonts w:hint="eastAsia"/>
        </w:rPr>
        <w:t>つのシナリオにおいて、</w:t>
      </w:r>
      <w:r>
        <w:rPr>
          <w:rFonts w:hint="eastAsia"/>
        </w:rPr>
        <w:t>HTA</w:t>
      </w:r>
      <w:r>
        <w:rPr>
          <w:rFonts w:hint="eastAsia"/>
        </w:rPr>
        <w:t>でますます活用されるようになっている。</w:t>
      </w:r>
      <w:r w:rsidR="00505422" w:rsidRPr="00C641CC">
        <w:rPr>
          <w:noProof/>
        </w:rPr>
        <w:drawing>
          <wp:inline distT="0" distB="0" distL="0" distR="0" wp14:anchorId="0DE2C7AC" wp14:editId="5012C7A8">
            <wp:extent cx="5731510" cy="2638425"/>
            <wp:effectExtent l="0" t="0" r="2540" b="9525"/>
            <wp:docPr id="1423232250" name="Picture 1423232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232250" name="Picture 1423232250"/>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5731510" cy="2638425"/>
                    </a:xfrm>
                    <a:prstGeom prst="rect">
                      <a:avLst/>
                    </a:prstGeom>
                    <a:noFill/>
                    <a:ln>
                      <a:noFill/>
                    </a:ln>
                    <a:extLst>
                      <a:ext uri="{53640926-AAD7-44D8-BBD7-CCE9431645EC}">
                        <a14:shadowObscured xmlns:a14="http://schemas.microsoft.com/office/drawing/2010/main"/>
                      </a:ext>
                    </a:extLst>
                  </pic:spPr>
                </pic:pic>
              </a:graphicData>
            </a:graphic>
          </wp:inline>
        </w:drawing>
      </w:r>
    </w:p>
    <w:p w14:paraId="2F3C4D37" w14:textId="77777777" w:rsidR="00505422" w:rsidRPr="00520DF1" w:rsidRDefault="00505422" w:rsidP="00817928">
      <w:pPr>
        <w:jc w:val="center"/>
        <w:rPr>
          <w:b/>
          <w:color w:val="275317" w:themeColor="accent6" w:themeShade="80"/>
        </w:rPr>
      </w:pPr>
      <w:r w:rsidRPr="00520DF1">
        <w:rPr>
          <w:b/>
          <w:color w:val="275317" w:themeColor="accent6" w:themeShade="80"/>
        </w:rPr>
        <w:t>Figure: Scenarios where RWD can generate comparative treatment effects in HTA</w:t>
      </w:r>
    </w:p>
    <w:p w14:paraId="5E44CDDA" w14:textId="77777777" w:rsidR="00817928" w:rsidRDefault="00817928" w:rsidP="00505422">
      <w:pPr>
        <w:spacing w:after="200"/>
      </w:pPr>
    </w:p>
    <w:p w14:paraId="5B04C26B" w14:textId="77777777" w:rsidR="00817928" w:rsidRDefault="00817928" w:rsidP="00817928">
      <w:pPr>
        <w:spacing w:after="200"/>
      </w:pPr>
      <w:r>
        <w:rPr>
          <w:rFonts w:hint="eastAsia"/>
        </w:rPr>
        <w:t>多くの新しい医療技術や新興医療技術は、非常に限られた患者集団（例えば、まれな疾患や超まれな疾患）で使用される可能性が高い。このような患者集団では、自然疾患史が十分に解明されて</w:t>
      </w:r>
      <w:r>
        <w:rPr>
          <w:rFonts w:hint="eastAsia"/>
        </w:rPr>
        <w:lastRenderedPageBreak/>
        <w:t>おらず、疫学も不確実で、表現型も多様であり、診断精度も低い。そのため、重要なエビデンスの不確実性は、上記の図のシナリオ</w:t>
      </w:r>
      <w:r>
        <w:rPr>
          <w:rFonts w:hint="eastAsia"/>
        </w:rPr>
        <w:t>2</w:t>
      </w:r>
      <w:r>
        <w:rPr>
          <w:rFonts w:hint="eastAsia"/>
        </w:rPr>
        <w:t>と</w:t>
      </w:r>
      <w:r>
        <w:rPr>
          <w:rFonts w:hint="eastAsia"/>
        </w:rPr>
        <w:t>3</w:t>
      </w:r>
      <w:r>
        <w:rPr>
          <w:rFonts w:hint="eastAsia"/>
        </w:rPr>
        <w:t>に該当することが多い。</w:t>
      </w:r>
      <w:r>
        <w:rPr>
          <w:rFonts w:hint="eastAsia"/>
        </w:rPr>
        <w:t>HTA</w:t>
      </w:r>
      <w:r>
        <w:rPr>
          <w:rFonts w:hint="eastAsia"/>
        </w:rPr>
        <w:t>をサポートするための具体的なデータニーズは、治療の種類や使用される状況によって異なる。国際的な法域では、この文脈において定量的データと定性的データの双方の使用を推奨している。</w:t>
      </w:r>
    </w:p>
    <w:p w14:paraId="60A373F0" w14:textId="77777777" w:rsidR="00817928" w:rsidRDefault="00817928" w:rsidP="00817928">
      <w:pPr>
        <w:spacing w:after="200"/>
      </w:pPr>
      <w:r>
        <w:rPr>
          <w:rFonts w:hint="eastAsia"/>
        </w:rPr>
        <w:t>他の種類の医療技術の場合と同様、</w:t>
      </w:r>
      <w:r>
        <w:rPr>
          <w:rFonts w:hint="eastAsia"/>
        </w:rPr>
        <w:t>RWD</w:t>
      </w:r>
      <w:r>
        <w:rPr>
          <w:rFonts w:hint="eastAsia"/>
        </w:rPr>
        <w:t>とその分析方法に品質の観点を取り入れることは不可欠である。我々は、</w:t>
      </w:r>
      <w:r>
        <w:rPr>
          <w:rFonts w:hint="eastAsia"/>
        </w:rPr>
        <w:t>RWE</w:t>
      </w:r>
      <w:r>
        <w:rPr>
          <w:rFonts w:hint="eastAsia"/>
        </w:rPr>
        <w:t>の品質は多因子性であると主張する。それは、基礎データ（由来、信頼性、欠損）、それらのデータを分析するために使用される方法（適切な研究デザインと分析方法）、そして対処される問題（データは必要なエビデンスを生み出す目的に適しているか）に依存している。</w:t>
      </w:r>
    </w:p>
    <w:p w14:paraId="79A39BB2" w14:textId="1D8F2FDE" w:rsidR="00817928" w:rsidRDefault="00817928" w:rsidP="00817928">
      <w:pPr>
        <w:spacing w:after="200"/>
      </w:pPr>
      <w:r>
        <w:rPr>
          <w:rFonts w:hint="eastAsia"/>
        </w:rPr>
        <w:t>オーストラリアの</w:t>
      </w:r>
      <w:r>
        <w:rPr>
          <w:rFonts w:hint="eastAsia"/>
        </w:rPr>
        <w:t xml:space="preserve"> HTA </w:t>
      </w:r>
      <w:r>
        <w:rPr>
          <w:rFonts w:hint="eastAsia"/>
        </w:rPr>
        <w:t>における意思決定に</w:t>
      </w:r>
      <w:r>
        <w:rPr>
          <w:rFonts w:hint="eastAsia"/>
        </w:rPr>
        <w:t xml:space="preserve"> RWE </w:t>
      </w:r>
      <w:r>
        <w:rPr>
          <w:rFonts w:hint="eastAsia"/>
        </w:rPr>
        <w:t>を統合するための枠組みが早急に必要とされている。</w:t>
      </w:r>
      <w:r>
        <w:rPr>
          <w:rFonts w:hint="eastAsia"/>
        </w:rPr>
        <w:t xml:space="preserve"> </w:t>
      </w:r>
      <w:r>
        <w:rPr>
          <w:rFonts w:hint="eastAsia"/>
        </w:rPr>
        <w:t>医薬品給付諮問委員会と医療サービス諮問委員会のエビデンス・ニーズをサポートし、</w:t>
      </w:r>
      <w:r>
        <w:rPr>
          <w:rFonts w:hint="eastAsia"/>
        </w:rPr>
        <w:t xml:space="preserve">RWE </w:t>
      </w:r>
      <w:r>
        <w:rPr>
          <w:rFonts w:hint="eastAsia"/>
        </w:rPr>
        <w:t>の質と透明性を高めるために、オーストラリアの</w:t>
      </w:r>
      <w:r>
        <w:rPr>
          <w:rFonts w:hint="eastAsia"/>
        </w:rPr>
        <w:t xml:space="preserve"> HTA </w:t>
      </w:r>
      <w:r>
        <w:rPr>
          <w:rFonts w:hint="eastAsia"/>
        </w:rPr>
        <w:t>に採用または容易に適応できる、注目すべき国際的なイニシアティブ、枠組み、ツールが存在する。</w:t>
      </w:r>
    </w:p>
    <w:p w14:paraId="1498EFE1" w14:textId="77777777" w:rsidR="00817928" w:rsidRDefault="00817928" w:rsidP="00817928">
      <w:pPr>
        <w:spacing w:after="200"/>
      </w:pPr>
      <w:r>
        <w:rPr>
          <w:rFonts w:hint="eastAsia"/>
        </w:rPr>
        <w:t>オーストラリアには、</w:t>
      </w:r>
      <w:r>
        <w:rPr>
          <w:rFonts w:hint="eastAsia"/>
        </w:rPr>
        <w:t>HTA</w:t>
      </w:r>
      <w:r>
        <w:rPr>
          <w:rFonts w:hint="eastAsia"/>
        </w:rPr>
        <w:t>の支援に現在使用されている、あるいは将来使用される可能性のある、豊富な伝統的および新興のデータソースがある。</w:t>
      </w:r>
      <w:r>
        <w:rPr>
          <w:rFonts w:hint="eastAsia"/>
        </w:rPr>
        <w:t>RWD</w:t>
      </w:r>
      <w:r>
        <w:rPr>
          <w:rFonts w:hint="eastAsia"/>
        </w:rPr>
        <w:t>の定義は広範囲に及ぶことが推奨され、保健医療および社会福祉の分野において日常的に収集されるデータ、疾患や医療技術に特化した登録簿、患者から直接収集されるデータなどが含まれる。従来の</w:t>
      </w:r>
      <w:r>
        <w:rPr>
          <w:rFonts w:hint="eastAsia"/>
        </w:rPr>
        <w:t>RWD</w:t>
      </w:r>
      <w:r>
        <w:rPr>
          <w:rFonts w:hint="eastAsia"/>
        </w:rPr>
        <w:t>は主に定量的データであるが、患者固有の価値観や経験を取り入れた定性的なデータも、今後ますます重要になるだろう。</w:t>
      </w:r>
    </w:p>
    <w:p w14:paraId="4A375A16" w14:textId="77777777" w:rsidR="00817928" w:rsidRDefault="00817928" w:rsidP="00817928">
      <w:pPr>
        <w:spacing w:after="200"/>
      </w:pPr>
      <w:r>
        <w:rPr>
          <w:rFonts w:hint="eastAsia"/>
        </w:rPr>
        <w:t>大量のデータが存在しても、それが</w:t>
      </w:r>
      <w:r>
        <w:rPr>
          <w:rFonts w:hint="eastAsia"/>
        </w:rPr>
        <w:t xml:space="preserve"> HTA </w:t>
      </w:r>
      <w:r>
        <w:rPr>
          <w:rFonts w:hint="eastAsia"/>
        </w:rPr>
        <w:t>を支援するためにタイムリーに活用されるとは限らない。本報告書では、オーストラリアにおける</w:t>
      </w:r>
      <w:r>
        <w:rPr>
          <w:rFonts w:hint="eastAsia"/>
        </w:rPr>
        <w:t xml:space="preserve"> RWD </w:t>
      </w:r>
      <w:r>
        <w:rPr>
          <w:rFonts w:hint="eastAsia"/>
        </w:rPr>
        <w:t>の入手可能性、アクセス、利用の障壁について包括的な評価を行い、アクセスの障害に対する解決策を提案している。特に、データの利用における透明性の欠如と、データへのアクセスに関する統一された合理的な手順の欠如は、</w:t>
      </w:r>
      <w:r>
        <w:rPr>
          <w:rFonts w:hint="eastAsia"/>
        </w:rPr>
        <w:t xml:space="preserve">HTA </w:t>
      </w:r>
      <w:r>
        <w:rPr>
          <w:rFonts w:hint="eastAsia"/>
        </w:rPr>
        <w:t>や研究を含む幅広い用途でのデータ利用にとって依然として大きな障壁となっている。</w:t>
      </w:r>
    </w:p>
    <w:p w14:paraId="0AE97540" w14:textId="4887E58B" w:rsidR="00817928" w:rsidRDefault="00817928" w:rsidP="00817928">
      <w:pPr>
        <w:spacing w:after="200"/>
      </w:pPr>
      <w:r>
        <w:rPr>
          <w:rFonts w:hint="eastAsia"/>
        </w:rPr>
        <w:t>HTA</w:t>
      </w:r>
      <w:r>
        <w:rPr>
          <w:rFonts w:hint="eastAsia"/>
        </w:rPr>
        <w:t>の文脈において、オーストラリアにおける</w:t>
      </w:r>
      <w:r>
        <w:rPr>
          <w:rFonts w:hint="eastAsia"/>
        </w:rPr>
        <w:t>RWD</w:t>
      </w:r>
      <w:r>
        <w:rPr>
          <w:rFonts w:hint="eastAsia"/>
        </w:rPr>
        <w:t>および</w:t>
      </w:r>
      <w:r>
        <w:rPr>
          <w:rFonts w:hint="eastAsia"/>
        </w:rPr>
        <w:t>RWE</w:t>
      </w:r>
      <w:r>
        <w:rPr>
          <w:rFonts w:hint="eastAsia"/>
        </w:rPr>
        <w:t>の価値を最大限に引き出す機会は、</w:t>
      </w:r>
      <w:r>
        <w:rPr>
          <w:rFonts w:hint="eastAsia"/>
        </w:rPr>
        <w:t>4</w:t>
      </w:r>
      <w:r>
        <w:rPr>
          <w:rFonts w:hint="eastAsia"/>
        </w:rPr>
        <w:t>つの相互に関連した原則、すなわちパートナーシップ、信頼、データインフラ、方法論によって支えられている。以下の表は、オーストラリアで現実的に採用できるオプションを示しており、急速に進化する</w:t>
      </w:r>
      <w:r>
        <w:rPr>
          <w:rFonts w:hint="eastAsia"/>
        </w:rPr>
        <w:t>HTA</w:t>
      </w:r>
      <w:r>
        <w:rPr>
          <w:rFonts w:hint="eastAsia"/>
        </w:rPr>
        <w:t>、データ、方法論の動向に対応できるよう設計されている。</w:t>
      </w:r>
    </w:p>
    <w:p w14:paraId="08863603" w14:textId="77777777" w:rsidR="00E0130F" w:rsidRDefault="00E0130F" w:rsidP="00505422">
      <w:pPr>
        <w:rPr>
          <w:b/>
          <w:color w:val="275317" w:themeColor="accent6" w:themeShade="80"/>
        </w:rPr>
      </w:pPr>
    </w:p>
    <w:p w14:paraId="76A01FC1" w14:textId="77777777" w:rsidR="00E0130F" w:rsidRDefault="00E0130F" w:rsidP="00505422">
      <w:pPr>
        <w:rPr>
          <w:b/>
          <w:color w:val="275317" w:themeColor="accent6" w:themeShade="80"/>
        </w:rPr>
      </w:pPr>
    </w:p>
    <w:p w14:paraId="2D7E4D9B" w14:textId="77777777" w:rsidR="00E0130F" w:rsidRDefault="00E0130F" w:rsidP="00505422">
      <w:pPr>
        <w:rPr>
          <w:b/>
          <w:color w:val="275317" w:themeColor="accent6" w:themeShade="80"/>
        </w:rPr>
      </w:pPr>
    </w:p>
    <w:p w14:paraId="3A57916E" w14:textId="77777777" w:rsidR="00E0130F" w:rsidRDefault="00E0130F" w:rsidP="00505422">
      <w:pPr>
        <w:rPr>
          <w:b/>
          <w:color w:val="275317" w:themeColor="accent6" w:themeShade="80"/>
        </w:rPr>
      </w:pPr>
    </w:p>
    <w:p w14:paraId="6FBE6C7E" w14:textId="77777777" w:rsidR="00E0130F" w:rsidRDefault="00E0130F" w:rsidP="00505422">
      <w:pPr>
        <w:rPr>
          <w:b/>
          <w:color w:val="275317" w:themeColor="accent6" w:themeShade="80"/>
        </w:rPr>
      </w:pPr>
    </w:p>
    <w:p w14:paraId="31ABC46A" w14:textId="4C72EB6C" w:rsidR="00505422" w:rsidRPr="00D21AA1" w:rsidRDefault="00505422" w:rsidP="00505422">
      <w:pPr>
        <w:rPr>
          <w:b/>
          <w:color w:val="275317" w:themeColor="accent6" w:themeShade="80"/>
        </w:rPr>
      </w:pPr>
      <w:r w:rsidRPr="00D21AA1">
        <w:rPr>
          <w:b/>
          <w:color w:val="275317" w:themeColor="accent6" w:themeShade="80"/>
        </w:rPr>
        <w:lastRenderedPageBreak/>
        <w:t xml:space="preserve">Table: Options to </w:t>
      </w:r>
      <w:proofErr w:type="spellStart"/>
      <w:r w:rsidRPr="00D21AA1">
        <w:rPr>
          <w:b/>
          <w:color w:val="275317" w:themeColor="accent6" w:themeShade="80"/>
        </w:rPr>
        <w:t>maximise</w:t>
      </w:r>
      <w:proofErr w:type="spellEnd"/>
      <w:r w:rsidRPr="00D21AA1">
        <w:rPr>
          <w:b/>
          <w:color w:val="275317" w:themeColor="accent6" w:themeShade="80"/>
        </w:rPr>
        <w:t xml:space="preserve"> the value of RWD and RWE for HTA in Australia </w:t>
      </w:r>
    </w:p>
    <w:tbl>
      <w:tblPr>
        <w:tblW w:w="503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08"/>
      </w:tblGrid>
      <w:tr w:rsidR="00505422" w:rsidRPr="00817928" w14:paraId="41FB0F69" w14:textId="77777777" w:rsidTr="000B184E">
        <w:trPr>
          <w:trHeight w:val="300"/>
        </w:trPr>
        <w:tc>
          <w:tcPr>
            <w:tcW w:w="49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DD873" w:themeFill="accent6" w:themeFillTint="99"/>
          </w:tcPr>
          <w:p w14:paraId="259AE2C9" w14:textId="77777777" w:rsidR="00505422" w:rsidRPr="00E0130F" w:rsidRDefault="00505422" w:rsidP="00817928">
            <w:pPr>
              <w:spacing w:line="240" w:lineRule="auto"/>
              <w:rPr>
                <w:b/>
                <w:bCs/>
                <w:lang w:eastAsia="en-GB"/>
              </w:rPr>
            </w:pPr>
            <w:r w:rsidRPr="00E0130F">
              <w:rPr>
                <w:b/>
                <w:bCs/>
                <w:lang w:eastAsia="en-GB"/>
              </w:rPr>
              <w:t>PARTNERSHIPS </w:t>
            </w:r>
          </w:p>
        </w:tc>
      </w:tr>
      <w:tr w:rsidR="00505422" w:rsidRPr="00817928" w14:paraId="0E5FC0A4" w14:textId="77777777" w:rsidTr="000B184E">
        <w:trPr>
          <w:trHeight w:val="300"/>
        </w:trPr>
        <w:tc>
          <w:tcPr>
            <w:tcW w:w="49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78B198B" w14:textId="52930465" w:rsidR="00505422" w:rsidRPr="00E0130F" w:rsidRDefault="00817928" w:rsidP="00817928">
            <w:pPr>
              <w:spacing w:line="240" w:lineRule="auto"/>
              <w:rPr>
                <w:rFonts w:cs="Times New Roman"/>
              </w:rPr>
            </w:pPr>
            <w:r w:rsidRPr="00E0130F">
              <w:rPr>
                <w:rFonts w:hint="eastAsia"/>
              </w:rPr>
              <w:t>HTA</w:t>
            </w:r>
            <w:r w:rsidRPr="00E0130F">
              <w:rPr>
                <w:rFonts w:hint="eastAsia"/>
              </w:rPr>
              <w:t>における</w:t>
            </w:r>
            <w:r w:rsidRPr="00E0130F">
              <w:rPr>
                <w:rFonts w:hint="eastAsia"/>
              </w:rPr>
              <w:t>RWD</w:t>
            </w:r>
            <w:r w:rsidRPr="00E0130F">
              <w:rPr>
                <w:rFonts w:hint="eastAsia"/>
              </w:rPr>
              <w:t>の利用とアクセスを最適化するシステム、経路、評価、研究の開発と実施を共同設計し、監督するために、政府に報告する多ステークホルダー諮問グループを設置する。</w:t>
            </w:r>
          </w:p>
        </w:tc>
      </w:tr>
      <w:tr w:rsidR="00505422" w:rsidRPr="00817928" w14:paraId="3B7E8556" w14:textId="77777777" w:rsidTr="000B184E">
        <w:trPr>
          <w:trHeight w:val="300"/>
        </w:trPr>
        <w:tc>
          <w:tcPr>
            <w:tcW w:w="49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DD873" w:themeFill="accent6" w:themeFillTint="99"/>
          </w:tcPr>
          <w:p w14:paraId="0A6E1093" w14:textId="77777777" w:rsidR="00505422" w:rsidRPr="00E0130F" w:rsidRDefault="00505422" w:rsidP="00817928">
            <w:pPr>
              <w:spacing w:line="240" w:lineRule="auto"/>
              <w:rPr>
                <w:b/>
                <w:bCs/>
                <w:lang w:eastAsia="en-GB"/>
              </w:rPr>
            </w:pPr>
            <w:r w:rsidRPr="00E0130F">
              <w:rPr>
                <w:b/>
                <w:bCs/>
                <w:lang w:eastAsia="en-GB"/>
              </w:rPr>
              <w:t>TRUST</w:t>
            </w:r>
          </w:p>
        </w:tc>
      </w:tr>
      <w:tr w:rsidR="00505422" w:rsidRPr="00817928" w14:paraId="1B3C18A1" w14:textId="77777777" w:rsidTr="000B184E">
        <w:trPr>
          <w:trHeight w:val="300"/>
        </w:trPr>
        <w:tc>
          <w:tcPr>
            <w:tcW w:w="49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FCDF4FA" w14:textId="4C6585DF" w:rsidR="00505422" w:rsidRPr="00E0130F" w:rsidRDefault="00817928" w:rsidP="00817928">
            <w:pPr>
              <w:spacing w:line="240" w:lineRule="auto"/>
            </w:pPr>
            <w:r w:rsidRPr="00E0130F">
              <w:rPr>
                <w:rFonts w:hint="eastAsia"/>
                <w:bCs/>
              </w:rPr>
              <w:t>HTA</w:t>
            </w:r>
            <w:r w:rsidRPr="00E0130F">
              <w:rPr>
                <w:rFonts w:hint="eastAsia"/>
                <w:bCs/>
              </w:rPr>
              <w:t>における複数の管轄区域や部門にまたがる</w:t>
            </w:r>
            <w:r w:rsidRPr="00E0130F">
              <w:rPr>
                <w:rFonts w:hint="eastAsia"/>
                <w:bCs/>
              </w:rPr>
              <w:t>RWD</w:t>
            </w:r>
            <w:r w:rsidRPr="00E0130F">
              <w:rPr>
                <w:rFonts w:hint="eastAsia"/>
                <w:bCs/>
              </w:rPr>
              <w:t>へのアクセスと利用に対する信頼、認知度、受容度を高めるための戦略的アプローチを開発する。このアプローチは、消費者と地域社会の参加と共同設計を中心に据え、既存の国際的な活動やガイドラインを活用・統合し、オーストラリアの文脈とエビデンスを組み込み、</w:t>
            </w:r>
            <w:r w:rsidRPr="00E0130F">
              <w:rPr>
                <w:rFonts w:hint="eastAsia"/>
                <w:bCs/>
              </w:rPr>
              <w:t>HTA</w:t>
            </w:r>
            <w:r w:rsidRPr="00E0130F">
              <w:rPr>
                <w:rFonts w:hint="eastAsia"/>
                <w:bCs/>
              </w:rPr>
              <w:t>に特化した対応とメッセージを微調整すべきである。オーストラリアは、プライバシー保護とデータセキュリティを保証するシステムの開発と強化を継続することが極めて重要である。</w:t>
            </w:r>
          </w:p>
        </w:tc>
      </w:tr>
      <w:tr w:rsidR="00505422" w:rsidRPr="00817928" w14:paraId="16A8D5F5" w14:textId="77777777" w:rsidTr="000B184E">
        <w:trPr>
          <w:trHeight w:val="300"/>
        </w:trPr>
        <w:tc>
          <w:tcPr>
            <w:tcW w:w="49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DD873" w:themeFill="accent6" w:themeFillTint="99"/>
          </w:tcPr>
          <w:p w14:paraId="6B898B10" w14:textId="77777777" w:rsidR="00505422" w:rsidRPr="00E0130F" w:rsidRDefault="00505422" w:rsidP="00817928">
            <w:pPr>
              <w:spacing w:line="240" w:lineRule="auto"/>
              <w:rPr>
                <w:b/>
                <w:bCs/>
                <w:lang w:eastAsia="en-GB"/>
              </w:rPr>
            </w:pPr>
            <w:r w:rsidRPr="00E0130F">
              <w:rPr>
                <w:b/>
                <w:bCs/>
                <w:lang w:eastAsia="en-GB"/>
              </w:rPr>
              <w:t>DATA INFRASTRUCTURE </w:t>
            </w:r>
          </w:p>
        </w:tc>
      </w:tr>
      <w:tr w:rsidR="00505422" w:rsidRPr="00817928" w14:paraId="2E3CECBC" w14:textId="77777777" w:rsidTr="000B184E">
        <w:trPr>
          <w:trHeight w:val="300"/>
        </w:trPr>
        <w:tc>
          <w:tcPr>
            <w:tcW w:w="49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624D644" w14:textId="53F22C5B" w:rsidR="00505422" w:rsidRPr="00E0130F" w:rsidRDefault="00817928" w:rsidP="00817928">
            <w:pPr>
              <w:spacing w:line="240" w:lineRule="auto"/>
            </w:pPr>
            <w:r w:rsidRPr="00E0130F">
              <w:rPr>
                <w:rFonts w:hint="eastAsia"/>
              </w:rPr>
              <w:t xml:space="preserve">HTA </w:t>
            </w:r>
            <w:r w:rsidRPr="00E0130F">
              <w:rPr>
                <w:rFonts w:hint="eastAsia"/>
              </w:rPr>
              <w:t>用の</w:t>
            </w:r>
            <w:r w:rsidRPr="00E0130F">
              <w:rPr>
                <w:rFonts w:hint="eastAsia"/>
              </w:rPr>
              <w:t xml:space="preserve"> RWE </w:t>
            </w:r>
            <w:r w:rsidRPr="00E0130F">
              <w:rPr>
                <w:rFonts w:hint="eastAsia"/>
              </w:rPr>
              <w:t>開発を促進するために、透明性があり合理化されたガバナンスを含む、ダイナミックで持続可能な政府全体にわたるデータインフラストラクチャを開発する。このインフラストラクチャは、</w:t>
            </w:r>
            <w:r w:rsidRPr="00E0130F">
              <w:rPr>
                <w:rFonts w:hint="eastAsia"/>
              </w:rPr>
              <w:t xml:space="preserve">HTA </w:t>
            </w:r>
            <w:r w:rsidRPr="00E0130F">
              <w:rPr>
                <w:rFonts w:hint="eastAsia"/>
              </w:rPr>
              <w:t>機関やその他の利害関係者のニーズに基づいて、時間をかけて進化させていくべきである。また、国際標準を使用して調和を図り、治療状況の変化に対応できる柔軟性を備え、新たなデータセットを取り入れるための拡張性を備え、透明性の高いデータ品質評価を可能にする必要がある。人口の多い管轄区域から収集された統合された医療・社会データは、一部の研究課題に対処するために適している可能性がある。これらのデータは、より迅速にアクセスでき、複数の分野にわたる深みを提供できる可能性がある。</w:t>
            </w:r>
          </w:p>
        </w:tc>
      </w:tr>
      <w:tr w:rsidR="00505422" w:rsidRPr="00817928" w14:paraId="692B6A33" w14:textId="77777777" w:rsidTr="000B184E">
        <w:trPr>
          <w:trHeight w:val="300"/>
        </w:trPr>
        <w:tc>
          <w:tcPr>
            <w:tcW w:w="500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DD873" w:themeFill="accent6" w:themeFillTint="99"/>
          </w:tcPr>
          <w:p w14:paraId="7252AFB3" w14:textId="77777777" w:rsidR="00505422" w:rsidRPr="00E0130F" w:rsidRDefault="00505422" w:rsidP="00817928">
            <w:pPr>
              <w:spacing w:line="240" w:lineRule="auto"/>
              <w:rPr>
                <w:b/>
                <w:bCs/>
                <w:lang w:eastAsia="en-GB"/>
              </w:rPr>
            </w:pPr>
            <w:r w:rsidRPr="00E0130F">
              <w:rPr>
                <w:b/>
                <w:bCs/>
                <w:lang w:eastAsia="en-GB"/>
              </w:rPr>
              <w:t>METHODS </w:t>
            </w:r>
          </w:p>
        </w:tc>
      </w:tr>
      <w:tr w:rsidR="00505422" w:rsidRPr="00817928" w14:paraId="34FA4C67" w14:textId="77777777" w:rsidTr="000B184E">
        <w:trPr>
          <w:trHeight w:val="300"/>
        </w:trPr>
        <w:tc>
          <w:tcPr>
            <w:tcW w:w="500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1961040" w14:textId="288B20DF" w:rsidR="00505422" w:rsidRPr="00E0130F" w:rsidRDefault="00817928" w:rsidP="00817928">
            <w:pPr>
              <w:spacing w:line="240" w:lineRule="auto"/>
            </w:pPr>
            <w:r w:rsidRPr="00E0130F">
              <w:rPr>
                <w:rFonts w:hint="eastAsia"/>
              </w:rPr>
              <w:t>HTA</w:t>
            </w:r>
            <w:r w:rsidRPr="00E0130F">
              <w:rPr>
                <w:rFonts w:hint="eastAsia"/>
              </w:rPr>
              <w:t>のベストプラクティス手法を用いて、データの標準化、標準化された分析、報告に及ぶ、透明性の高いエビデンス開発に向けた多主体調整アプローチを開発する。</w:t>
            </w:r>
          </w:p>
        </w:tc>
      </w:tr>
    </w:tbl>
    <w:p w14:paraId="1491B26B" w14:textId="77777777" w:rsidR="00E0130F" w:rsidRDefault="00E0130F" w:rsidP="00505422">
      <w:pPr>
        <w:spacing w:after="200"/>
        <w:rPr>
          <w:rFonts w:hint="eastAsia"/>
          <w:color w:val="000000" w:themeColor="text1"/>
        </w:rPr>
      </w:pPr>
    </w:p>
    <w:p w14:paraId="24E74BC6" w14:textId="347677E2" w:rsidR="00E0130F" w:rsidRDefault="00817928">
      <w:pPr>
        <w:rPr>
          <w:rFonts w:hint="eastAsia"/>
        </w:rPr>
      </w:pPr>
      <w:r w:rsidRPr="00817928">
        <w:rPr>
          <w:rFonts w:hint="eastAsia"/>
        </w:rPr>
        <w:t>本レポートの第</w:t>
      </w:r>
      <w:r w:rsidRPr="00817928">
        <w:rPr>
          <w:rFonts w:hint="eastAsia"/>
        </w:rPr>
        <w:t>2</w:t>
      </w:r>
      <w:r w:rsidRPr="00817928">
        <w:rPr>
          <w:rFonts w:hint="eastAsia"/>
        </w:rPr>
        <w:t>部では、これらの選択肢をサポートするためのロードマップを示し、即座に、</w:t>
      </w:r>
      <w:r w:rsidRPr="00817928">
        <w:rPr>
          <w:rFonts w:hint="eastAsia"/>
        </w:rPr>
        <w:t>12</w:t>
      </w:r>
      <w:r w:rsidRPr="00817928">
        <w:rPr>
          <w:rFonts w:hint="eastAsia"/>
        </w:rPr>
        <w:t>か月以内に、そして長期的に実施できる一連のステップを提示している。ロードマップの実施には、第一に、データアクセスに関する倫理およびガバナンスプロセスをより調和させ、合理化し、透明化するための取り組みが必要である。これは、オーストラリアにおける</w:t>
      </w:r>
      <w:r w:rsidRPr="00817928">
        <w:rPr>
          <w:rFonts w:hint="eastAsia"/>
        </w:rPr>
        <w:t>HTA</w:t>
      </w:r>
      <w:r w:rsidRPr="00817928">
        <w:rPr>
          <w:rFonts w:hint="eastAsia"/>
        </w:rPr>
        <w:t>のための</w:t>
      </w:r>
      <w:r w:rsidRPr="00817928">
        <w:rPr>
          <w:rFonts w:hint="eastAsia"/>
        </w:rPr>
        <w:t>RWE</w:t>
      </w:r>
      <w:r w:rsidRPr="00817928">
        <w:rPr>
          <w:rFonts w:hint="eastAsia"/>
        </w:rPr>
        <w:t>開発を加速するために必要な基盤となるステップである。オーストラリアは、地域</w:t>
      </w:r>
      <w:r w:rsidRPr="00817928">
        <w:rPr>
          <w:rFonts w:hint="eastAsia"/>
        </w:rPr>
        <w:t>RWD</w:t>
      </w:r>
      <w:r w:rsidRPr="00817928">
        <w:rPr>
          <w:rFonts w:hint="eastAsia"/>
        </w:rPr>
        <w:t>から確固たるエビデンスを生み出すアプローチにおいて、グローバルな視点も取り入れるべきである。この取り組みにおいては、長期的な実現可能性と資源やインフラの賢明な利用を確保するため、調整された多主体アプローチを支持する。</w:t>
      </w:r>
    </w:p>
    <w:p w14:paraId="6D0E0C24" w14:textId="4EF4BCC9" w:rsidR="00DF37BE" w:rsidRDefault="00DF37BE">
      <w:pPr>
        <w:widowControl/>
      </w:pPr>
      <w:r>
        <w:br w:type="page"/>
      </w:r>
    </w:p>
    <w:p w14:paraId="561E682B" w14:textId="77777777" w:rsidR="00E0130F" w:rsidRPr="00E0130F" w:rsidRDefault="00E0130F" w:rsidP="00E0130F">
      <w:pPr>
        <w:pStyle w:val="1"/>
        <w:rPr>
          <w:rFonts w:ascii="Arial" w:hAnsi="Arial" w:cs="Arial"/>
          <w:sz w:val="32"/>
          <w:szCs w:val="24"/>
          <w:lang w:eastAsia="ja-JP"/>
        </w:rPr>
      </w:pPr>
      <w:bookmarkStart w:id="1" w:name="_Toc147507797"/>
      <w:r w:rsidRPr="00E0130F">
        <w:rPr>
          <w:rFonts w:ascii="Arial" w:hAnsi="Arial" w:cs="Arial"/>
          <w:sz w:val="32"/>
          <w:szCs w:val="24"/>
          <w:lang w:eastAsia="ja-JP"/>
        </w:rPr>
        <w:lastRenderedPageBreak/>
        <w:t>Background and Aim</w:t>
      </w:r>
      <w:bookmarkEnd w:id="1"/>
    </w:p>
    <w:p w14:paraId="3DE9EBBA" w14:textId="77777777" w:rsidR="00E0130F" w:rsidRPr="00E0130F" w:rsidRDefault="00E0130F" w:rsidP="00E0130F">
      <w:pPr>
        <w:rPr>
          <w:rFonts w:hint="eastAsia"/>
        </w:rPr>
      </w:pPr>
      <w:r w:rsidRPr="00E0130F">
        <w:rPr>
          <w:rFonts w:hint="eastAsia"/>
        </w:rPr>
        <w:t>ヘルスケア技術パイプラインとは、概念開発から臨床試験、規制当局や助成金の承認、市販後調査に至るまで、技術が発展していくダイナミックなプロセスである。現実世界のデータ（</w:t>
      </w:r>
      <w:r w:rsidRPr="00E0130F">
        <w:rPr>
          <w:rFonts w:hint="eastAsia"/>
        </w:rPr>
        <w:t>RWD</w:t>
      </w:r>
      <w:r w:rsidRPr="00E0130F">
        <w:rPr>
          <w:rFonts w:hint="eastAsia"/>
        </w:rPr>
        <w:t>）の分析から得られる現実世界のエビデンス（</w:t>
      </w:r>
      <w:r w:rsidRPr="00E0130F">
        <w:rPr>
          <w:rFonts w:hint="eastAsia"/>
        </w:rPr>
        <w:t>RWE</w:t>
      </w:r>
      <w:r w:rsidRPr="00E0130F">
        <w:rPr>
          <w:rFonts w:hint="eastAsia"/>
        </w:rPr>
        <w:t>）は、ヘルスケア技術評価（</w:t>
      </w:r>
      <w:r w:rsidRPr="00E0130F">
        <w:rPr>
          <w:rFonts w:hint="eastAsia"/>
        </w:rPr>
        <w:t>HTA</w:t>
      </w:r>
      <w:r w:rsidRPr="00E0130F">
        <w:rPr>
          <w:rFonts w:hint="eastAsia"/>
        </w:rPr>
        <w:t>）の一環として、市場承認や助成金の承認など、ヘルスケア技術パイプラインにおける意思決定者のエビデンスニーズをサポートする上で重要な役割を果たしている</w:t>
      </w:r>
      <w:r w:rsidRPr="00E0130F">
        <w:rPr>
          <w:rFonts w:hint="eastAsia"/>
        </w:rPr>
        <w:t>1</w:t>
      </w:r>
      <w:r w:rsidRPr="00E0130F">
        <w:rPr>
          <w:rFonts w:hint="eastAsia"/>
        </w:rPr>
        <w:t>。</w:t>
      </w:r>
      <w:r w:rsidRPr="00E0130F">
        <w:rPr>
          <w:rFonts w:hint="eastAsia"/>
        </w:rPr>
        <w:t>RWD</w:t>
      </w:r>
      <w:r w:rsidRPr="00E0130F">
        <w:rPr>
          <w:rFonts w:hint="eastAsia"/>
        </w:rPr>
        <w:t>は、国際</w:t>
      </w:r>
      <w:r w:rsidRPr="00E0130F">
        <w:rPr>
          <w:rFonts w:hint="eastAsia"/>
        </w:rPr>
        <w:t>HTA</w:t>
      </w:r>
      <w:r w:rsidRPr="00E0130F">
        <w:rPr>
          <w:rFonts w:hint="eastAsia"/>
        </w:rPr>
        <w:t>評価機関ネットワークにより、臨床試験条件以外の日常的な医療提供時に収集されたデータと定義されている</w:t>
      </w:r>
      <w:r w:rsidRPr="00E0130F">
        <w:rPr>
          <w:rFonts w:hint="eastAsia"/>
        </w:rPr>
        <w:t>2</w:t>
      </w:r>
      <w:r w:rsidRPr="00E0130F">
        <w:rPr>
          <w:rFonts w:hint="eastAsia"/>
        </w:rPr>
        <w:t>。他の機関や団体は、さらに広範な定義を採用しており、疾患や医療技術に特化した登録簿やデジタルプラットフォームを通じて患者から直接収集された、医療および社会ケアのあらゆる側面で日常的に収集されたデータも含まれる</w:t>
      </w:r>
      <w:r w:rsidRPr="00E0130F">
        <w:rPr>
          <w:rFonts w:hint="eastAsia"/>
        </w:rPr>
        <w:t>3</w:t>
      </w:r>
      <w:r w:rsidRPr="00E0130F">
        <w:rPr>
          <w:rFonts w:hint="eastAsia"/>
        </w:rPr>
        <w:t>、</w:t>
      </w:r>
      <w:r w:rsidRPr="00E0130F">
        <w:rPr>
          <w:rFonts w:hint="eastAsia"/>
        </w:rPr>
        <w:t>4</w:t>
      </w:r>
      <w:r w:rsidRPr="00E0130F">
        <w:rPr>
          <w:rFonts w:hint="eastAsia"/>
        </w:rPr>
        <w:t>。</w:t>
      </w:r>
      <w:r w:rsidRPr="00E0130F">
        <w:rPr>
          <w:rFonts w:hint="eastAsia"/>
        </w:rPr>
        <w:t>RWD</w:t>
      </w:r>
      <w:r w:rsidRPr="00E0130F">
        <w:rPr>
          <w:rFonts w:hint="eastAsia"/>
        </w:rPr>
        <w:t>から生成されるリアルワールドエビデンスは、政策立案者に日常臨床ケアにおける医療技術のリスクとベネフィットをより包括的に理解させることができ、それはランダム化比較試験（</w:t>
      </w:r>
      <w:r w:rsidRPr="00E0130F">
        <w:rPr>
          <w:rFonts w:hint="eastAsia"/>
        </w:rPr>
        <w:t>RCT</w:t>
      </w:r>
      <w:r w:rsidRPr="00E0130F">
        <w:rPr>
          <w:rFonts w:hint="eastAsia"/>
        </w:rPr>
        <w:t>）で観察される結果と異なることが多い。</w:t>
      </w:r>
    </w:p>
    <w:p w14:paraId="5205138A" w14:textId="77777777" w:rsidR="00E0130F" w:rsidRPr="00E0130F" w:rsidRDefault="00E0130F" w:rsidP="00E0130F">
      <w:pPr>
        <w:rPr>
          <w:rFonts w:hint="eastAsia"/>
        </w:rPr>
      </w:pPr>
      <w:r w:rsidRPr="00E0130F">
        <w:rPr>
          <w:rFonts w:hint="eastAsia"/>
        </w:rPr>
        <w:t xml:space="preserve">RCT </w:t>
      </w:r>
      <w:r w:rsidRPr="00E0130F">
        <w:rPr>
          <w:rFonts w:hint="eastAsia"/>
        </w:rPr>
        <w:t>は、医療技術の有効性を確立するためのゴールドスタンダードであることは広く認められている。</w:t>
      </w:r>
      <w:r w:rsidRPr="00E0130F">
        <w:rPr>
          <w:rFonts w:hint="eastAsia"/>
        </w:rPr>
        <w:t xml:space="preserve">RCT </w:t>
      </w:r>
      <w:r w:rsidRPr="00E0130F">
        <w:rPr>
          <w:rFonts w:hint="eastAsia"/>
        </w:rPr>
        <w:t>から得られた推定値は、規制や</w:t>
      </w:r>
      <w:r w:rsidRPr="00E0130F">
        <w:rPr>
          <w:rFonts w:hint="eastAsia"/>
        </w:rPr>
        <w:t xml:space="preserve"> HTA </w:t>
      </w:r>
      <w:r w:rsidRPr="00E0130F">
        <w:rPr>
          <w:rFonts w:hint="eastAsia"/>
        </w:rPr>
        <w:t>の意思決定の礎となってきた。しかし、</w:t>
      </w:r>
      <w:r w:rsidRPr="00E0130F">
        <w:rPr>
          <w:rFonts w:hint="eastAsia"/>
        </w:rPr>
        <w:t xml:space="preserve">RCT </w:t>
      </w:r>
      <w:r w:rsidRPr="00E0130F">
        <w:rPr>
          <w:rFonts w:hint="eastAsia"/>
        </w:rPr>
        <w:t>には限界があり、状況によっては実施できないことも認識されている。</w:t>
      </w:r>
      <w:r w:rsidRPr="00E0130F">
        <w:rPr>
          <w:rFonts w:hint="eastAsia"/>
        </w:rPr>
        <w:t xml:space="preserve">RWE </w:t>
      </w:r>
      <w:r w:rsidRPr="00E0130F">
        <w:rPr>
          <w:rFonts w:hint="eastAsia"/>
        </w:rPr>
        <w:t>は、統制実験の必要性を完全に代替できるわけではないが、その価値は実証されており、世界中の規制当局や</w:t>
      </w:r>
      <w:r w:rsidRPr="00E0130F">
        <w:rPr>
          <w:rFonts w:hint="eastAsia"/>
        </w:rPr>
        <w:t xml:space="preserve"> HTA </w:t>
      </w:r>
      <w:r w:rsidRPr="00E0130F">
        <w:rPr>
          <w:rFonts w:hint="eastAsia"/>
        </w:rPr>
        <w:t>機関の証拠に基づくニーズをサポートしている。これらの機関は、疾病の疫学、治療パターン、疾病の負担に関する記述的な</w:t>
      </w:r>
      <w:r w:rsidRPr="00E0130F">
        <w:rPr>
          <w:rFonts w:hint="eastAsia"/>
        </w:rPr>
        <w:t xml:space="preserve"> RWE </w:t>
      </w:r>
      <w:r w:rsidRPr="00E0130F">
        <w:rPr>
          <w:rFonts w:hint="eastAsia"/>
        </w:rPr>
        <w:t>を、規制や助成金の決定を下す際に長らく利用してきた。また、</w:t>
      </w:r>
      <w:r w:rsidRPr="00E0130F">
        <w:rPr>
          <w:rFonts w:hint="eastAsia"/>
        </w:rPr>
        <w:t xml:space="preserve">RWE </w:t>
      </w:r>
      <w:r w:rsidRPr="00E0130F">
        <w:rPr>
          <w:rFonts w:hint="eastAsia"/>
        </w:rPr>
        <w:t>を活用して、医療技術が日常的な臨床ケアで使用可能になった際に、その使用や安全性に関する不確実性を低減してきた。</w:t>
      </w:r>
      <w:r w:rsidRPr="00E0130F">
        <w:rPr>
          <w:rFonts w:hint="eastAsia"/>
        </w:rPr>
        <w:t xml:space="preserve">RWE </w:t>
      </w:r>
      <w:r w:rsidRPr="00E0130F">
        <w:rPr>
          <w:rFonts w:hint="eastAsia"/>
        </w:rPr>
        <w:t>はまた、医療技術の現実世界における（費用）効果や比較（費用）効果を評価するために使用されてきたが、これらの分野におけるベストプラクティス手法やガイドラインは、現在も発展途上である。最近では、臨床試験の実施が不可能な、あるいは倫理的に実施できない希少疾患の治療技術の開発が主な要因となり、</w:t>
      </w:r>
      <w:r w:rsidRPr="00E0130F">
        <w:rPr>
          <w:rFonts w:hint="eastAsia"/>
        </w:rPr>
        <w:t xml:space="preserve">RWE </w:t>
      </w:r>
      <w:r w:rsidRPr="00E0130F">
        <w:rPr>
          <w:rFonts w:hint="eastAsia"/>
        </w:rPr>
        <w:t>が臨床試験を補完し、製品の有効性を推定するために使用されるケースも増えている。</w:t>
      </w:r>
    </w:p>
    <w:p w14:paraId="27CB6E39" w14:textId="77777777" w:rsidR="00E0130F" w:rsidRDefault="00E0130F" w:rsidP="00E0130F">
      <w:r w:rsidRPr="00E0130F">
        <w:rPr>
          <w:rFonts w:hint="eastAsia"/>
        </w:rPr>
        <w:t>オーストラリアでは、新しい医療技術の規制と市場承認は、医薬品管理局（</w:t>
      </w:r>
      <w:r w:rsidRPr="00E0130F">
        <w:rPr>
          <w:rFonts w:hint="eastAsia"/>
        </w:rPr>
        <w:t>TGA</w:t>
      </w:r>
      <w:r w:rsidRPr="00E0130F">
        <w:rPr>
          <w:rFonts w:hint="eastAsia"/>
        </w:rPr>
        <w:t>）の責任である。</w:t>
      </w:r>
      <w:r w:rsidRPr="00E0130F">
        <w:rPr>
          <w:rFonts w:hint="eastAsia"/>
        </w:rPr>
        <w:t>TGA</w:t>
      </w:r>
      <w:r w:rsidRPr="00E0130F">
        <w:rPr>
          <w:rFonts w:hint="eastAsia"/>
        </w:rPr>
        <w:t>は、市場承認前に医療技術の有効性と安全性を評価し、市場導入後も引き続き技術のリスクと利益のバランスを監視する。市場承認が下りると、その技術はオーストラリア医薬品登録簿（</w:t>
      </w:r>
      <w:r w:rsidRPr="00E0130F">
        <w:rPr>
          <w:rFonts w:hint="eastAsia"/>
        </w:rPr>
        <w:t>ARTG</w:t>
      </w:r>
      <w:r w:rsidRPr="00E0130F">
        <w:rPr>
          <w:rFonts w:hint="eastAsia"/>
        </w:rPr>
        <w:t>）に登録され、製造業者またはスポンサーはオーストラリアの</w:t>
      </w:r>
      <w:r w:rsidRPr="00E0130F">
        <w:rPr>
          <w:rFonts w:hint="eastAsia"/>
        </w:rPr>
        <w:t xml:space="preserve"> HTA </w:t>
      </w:r>
      <w:r w:rsidRPr="00E0130F">
        <w:rPr>
          <w:rFonts w:hint="eastAsia"/>
        </w:rPr>
        <w:t>委員会に公的補助金の申請を行うことができる。</w:t>
      </w:r>
      <w:r w:rsidRPr="00E0130F">
        <w:rPr>
          <w:rFonts w:hint="eastAsia"/>
        </w:rPr>
        <w:t xml:space="preserve">TGA-PBAC </w:t>
      </w:r>
      <w:r w:rsidRPr="00E0130F">
        <w:rPr>
          <w:rFonts w:hint="eastAsia"/>
        </w:rPr>
        <w:t>の並行プロセスにより、医薬品およびワクチンに関する一部の申請は、</w:t>
      </w:r>
      <w:r w:rsidRPr="00E0130F">
        <w:rPr>
          <w:rFonts w:hint="eastAsia"/>
        </w:rPr>
        <w:t xml:space="preserve">TGA </w:t>
      </w:r>
      <w:r w:rsidRPr="00E0130F">
        <w:rPr>
          <w:rFonts w:hint="eastAsia"/>
        </w:rPr>
        <w:t>登録書類の提出後いつでも、医薬品給付諮問委員会（</w:t>
      </w:r>
      <w:r w:rsidRPr="00E0130F">
        <w:rPr>
          <w:rFonts w:hint="eastAsia"/>
        </w:rPr>
        <w:t>PBAC</w:t>
      </w:r>
      <w:r w:rsidRPr="00E0130F">
        <w:rPr>
          <w:rFonts w:hint="eastAsia"/>
        </w:rPr>
        <w:t>）で評価される。この報告書に関連する</w:t>
      </w:r>
      <w:r w:rsidRPr="00E0130F">
        <w:rPr>
          <w:rFonts w:hint="eastAsia"/>
        </w:rPr>
        <w:t xml:space="preserve"> HTA </w:t>
      </w:r>
      <w:r w:rsidRPr="00E0130F">
        <w:rPr>
          <w:rFonts w:hint="eastAsia"/>
        </w:rPr>
        <w:t>諮問委員会は</w:t>
      </w:r>
      <w:r w:rsidRPr="00E0130F">
        <w:rPr>
          <w:rFonts w:hint="eastAsia"/>
        </w:rPr>
        <w:t xml:space="preserve"> 2 </w:t>
      </w:r>
      <w:r w:rsidRPr="00E0130F">
        <w:rPr>
          <w:rFonts w:hint="eastAsia"/>
        </w:rPr>
        <w:t>つある。医薬品とワクチンに関しては、</w:t>
      </w:r>
      <w:r w:rsidRPr="00E0130F">
        <w:rPr>
          <w:rFonts w:hint="eastAsia"/>
        </w:rPr>
        <w:t>HTA</w:t>
      </w:r>
      <w:r w:rsidRPr="00E0130F">
        <w:rPr>
          <w:rFonts w:hint="eastAsia"/>
        </w:rPr>
        <w:t>は</w:t>
      </w:r>
      <w:r w:rsidRPr="00E0130F">
        <w:rPr>
          <w:rFonts w:hint="eastAsia"/>
        </w:rPr>
        <w:t>PBAC</w:t>
      </w:r>
      <w:r w:rsidRPr="00E0130F">
        <w:rPr>
          <w:rFonts w:hint="eastAsia"/>
        </w:rPr>
        <w:t>の管轄である。医療サービス諮問委員会（</w:t>
      </w:r>
      <w:r w:rsidRPr="00E0130F">
        <w:rPr>
          <w:rFonts w:hint="eastAsia"/>
        </w:rPr>
        <w:t>MSAC</w:t>
      </w:r>
      <w:r w:rsidRPr="00E0130F">
        <w:rPr>
          <w:rFonts w:hint="eastAsia"/>
        </w:rPr>
        <w:t>）は、メディケア給付スケジュール（</w:t>
      </w:r>
      <w:r w:rsidRPr="00E0130F">
        <w:rPr>
          <w:rFonts w:hint="eastAsia"/>
        </w:rPr>
        <w:t>MBS</w:t>
      </w:r>
      <w:r w:rsidRPr="00E0130F">
        <w:rPr>
          <w:rFonts w:hint="eastAsia"/>
        </w:rPr>
        <w:t>）やその他のプログラムで資金提供されている新しい医療サービスや既存の医療サービスを評価する。本報告書では、</w:t>
      </w:r>
      <w:r w:rsidRPr="00E0130F">
        <w:rPr>
          <w:rFonts w:hint="eastAsia"/>
        </w:rPr>
        <w:t>PBAC</w:t>
      </w:r>
      <w:r w:rsidRPr="00E0130F">
        <w:rPr>
          <w:rFonts w:hint="eastAsia"/>
        </w:rPr>
        <w:t>で検討される医療技術、または</w:t>
      </w:r>
      <w:r w:rsidRPr="00E0130F">
        <w:rPr>
          <w:rFonts w:hint="eastAsia"/>
        </w:rPr>
        <w:t>PBS</w:t>
      </w:r>
      <w:r w:rsidRPr="00E0130F">
        <w:rPr>
          <w:rFonts w:hint="eastAsia"/>
        </w:rPr>
        <w:t>に掲載されている医療技術の効果</w:t>
      </w:r>
      <w:r w:rsidRPr="00E0130F">
        <w:rPr>
          <w:rFonts w:hint="eastAsia"/>
        </w:rPr>
        <w:lastRenderedPageBreak/>
        <w:t>を強化する</w:t>
      </w:r>
      <w:r w:rsidRPr="00E0130F">
        <w:rPr>
          <w:rFonts w:hint="eastAsia"/>
        </w:rPr>
        <w:t>MSAC</w:t>
      </w:r>
      <w:r w:rsidRPr="00E0130F">
        <w:rPr>
          <w:rFonts w:hint="eastAsia"/>
        </w:rPr>
        <w:t>の管轄下にある医療技術を対象としている。これらの委員会は、公的助成（本稿では「リスト化」とも呼ばれる）について保健大臣に提言を行う。助成の決定にあたっては、医療技術の有益性と有害性、経済的な影響、医療システムへの影響を考慮しなければならない。これらの</w:t>
      </w:r>
      <w:r w:rsidRPr="00E0130F">
        <w:rPr>
          <w:rFonts w:hint="eastAsia"/>
        </w:rPr>
        <w:t>HTA</w:t>
      </w:r>
      <w:r w:rsidRPr="00E0130F">
        <w:rPr>
          <w:rFonts w:hint="eastAsia"/>
        </w:rPr>
        <w:t>プロセスは、協議的かつ柔軟で、「強固かつ適切なエビデンス」</w:t>
      </w:r>
      <w:r w:rsidRPr="00E0130F">
        <w:rPr>
          <w:rFonts w:hint="eastAsia"/>
        </w:rPr>
        <w:t>5</w:t>
      </w:r>
      <w:r w:rsidRPr="00E0130F">
        <w:rPr>
          <w:rFonts w:hint="eastAsia"/>
        </w:rPr>
        <w:t>に基づく情報に基づいて、オーストラリアの公的助成制度の持続可能性、透明性、説明責任、独立性を支援する。</w:t>
      </w:r>
    </w:p>
    <w:tbl>
      <w:tblPr>
        <w:tblStyle w:val="a9"/>
        <w:tblW w:w="0" w:type="auto"/>
        <w:tblLook w:val="04A0" w:firstRow="1" w:lastRow="0" w:firstColumn="1" w:lastColumn="0" w:noHBand="0" w:noVBand="1"/>
      </w:tblPr>
      <w:tblGrid>
        <w:gridCol w:w="9060"/>
      </w:tblGrid>
      <w:tr w:rsidR="00E0130F" w:rsidRPr="00E0130F" w14:paraId="1D98D199" w14:textId="77777777" w:rsidTr="00E0130F">
        <w:tc>
          <w:tcPr>
            <w:tcW w:w="9060" w:type="dxa"/>
          </w:tcPr>
          <w:p w14:paraId="57A63053" w14:textId="77777777" w:rsidR="00E0130F" w:rsidRPr="00E0130F" w:rsidRDefault="00E0130F" w:rsidP="003752DB">
            <w:pPr>
              <w:rPr>
                <w:b/>
                <w:bCs/>
                <w:i/>
                <w:iCs/>
                <w:color w:val="153D63" w:themeColor="text2" w:themeTint="E6"/>
              </w:rPr>
            </w:pPr>
            <w:r w:rsidRPr="00E0130F">
              <w:rPr>
                <w:rFonts w:hint="eastAsia"/>
                <w:b/>
                <w:bCs/>
                <w:i/>
                <w:iCs/>
                <w:color w:val="153D63" w:themeColor="text2" w:themeTint="E6"/>
              </w:rPr>
              <w:t>本論文の全体的な目的は、オーストラリアにおける</w:t>
            </w:r>
            <w:r w:rsidRPr="00E0130F">
              <w:rPr>
                <w:rFonts w:hint="eastAsia"/>
                <w:b/>
                <w:bCs/>
                <w:i/>
                <w:iCs/>
                <w:color w:val="153D63" w:themeColor="text2" w:themeTint="E6"/>
              </w:rPr>
              <w:t>HTA</w:t>
            </w:r>
            <w:r w:rsidRPr="00E0130F">
              <w:rPr>
                <w:rFonts w:hint="eastAsia"/>
                <w:b/>
                <w:bCs/>
                <w:i/>
                <w:iCs/>
                <w:color w:val="153D63" w:themeColor="text2" w:themeTint="E6"/>
              </w:rPr>
              <w:t>ライフサイクル全体を通じた意思決定をサポートするために、</w:t>
            </w:r>
            <w:r w:rsidRPr="00E0130F">
              <w:rPr>
                <w:rFonts w:hint="eastAsia"/>
                <w:b/>
                <w:bCs/>
                <w:i/>
                <w:iCs/>
                <w:color w:val="153D63" w:themeColor="text2" w:themeTint="E6"/>
              </w:rPr>
              <w:t>RWD</w:t>
            </w:r>
            <w:r w:rsidRPr="00E0130F">
              <w:rPr>
                <w:rFonts w:hint="eastAsia"/>
                <w:b/>
                <w:bCs/>
                <w:i/>
                <w:iCs/>
                <w:color w:val="153D63" w:themeColor="text2" w:themeTint="E6"/>
              </w:rPr>
              <w:t>の利用可能性、有用性、利用を最適化するオプションの概要を示すことである。</w:t>
            </w:r>
          </w:p>
        </w:tc>
      </w:tr>
    </w:tbl>
    <w:p w14:paraId="1607E849" w14:textId="77777777" w:rsidR="00E0130F" w:rsidRPr="00E0130F" w:rsidRDefault="00E0130F" w:rsidP="00E0130F">
      <w:pPr>
        <w:rPr>
          <w:rFonts w:hint="eastAsia"/>
        </w:rPr>
      </w:pPr>
    </w:p>
    <w:p w14:paraId="4250596C" w14:textId="77777777" w:rsidR="00E0130F" w:rsidRPr="00E0130F" w:rsidRDefault="00E0130F" w:rsidP="00E0130F">
      <w:pPr>
        <w:rPr>
          <w:rFonts w:hint="eastAsia"/>
        </w:rPr>
      </w:pPr>
      <w:r w:rsidRPr="00E0130F">
        <w:rPr>
          <w:rFonts w:hint="eastAsia"/>
        </w:rPr>
        <w:t>本稿では、以下の医療技術に関する</w:t>
      </w:r>
      <w:r w:rsidRPr="00E0130F">
        <w:rPr>
          <w:rFonts w:hint="eastAsia"/>
        </w:rPr>
        <w:t xml:space="preserve"> PBAC </w:t>
      </w:r>
      <w:r w:rsidRPr="00E0130F">
        <w:rPr>
          <w:rFonts w:hint="eastAsia"/>
        </w:rPr>
        <w:t>および</w:t>
      </w:r>
      <w:r w:rsidRPr="00E0130F">
        <w:rPr>
          <w:rFonts w:hint="eastAsia"/>
        </w:rPr>
        <w:t xml:space="preserve"> MSAC </w:t>
      </w:r>
      <w:r w:rsidRPr="00E0130F">
        <w:rPr>
          <w:rFonts w:hint="eastAsia"/>
        </w:rPr>
        <w:t>の</w:t>
      </w:r>
      <w:r w:rsidRPr="00E0130F">
        <w:rPr>
          <w:rFonts w:hint="eastAsia"/>
        </w:rPr>
        <w:t xml:space="preserve"> HTA </w:t>
      </w:r>
      <w:r w:rsidRPr="00E0130F">
        <w:rPr>
          <w:rFonts w:hint="eastAsia"/>
        </w:rPr>
        <w:t>を支援するための</w:t>
      </w:r>
      <w:r w:rsidRPr="00E0130F">
        <w:rPr>
          <w:rFonts w:hint="eastAsia"/>
        </w:rPr>
        <w:t xml:space="preserve"> RWD </w:t>
      </w:r>
      <w:r w:rsidRPr="00E0130F">
        <w:rPr>
          <w:rFonts w:hint="eastAsia"/>
        </w:rPr>
        <w:t>および</w:t>
      </w:r>
      <w:r w:rsidRPr="00E0130F">
        <w:rPr>
          <w:rFonts w:hint="eastAsia"/>
        </w:rPr>
        <w:t xml:space="preserve"> RWE </w:t>
      </w:r>
      <w:r w:rsidRPr="00E0130F">
        <w:rPr>
          <w:rFonts w:hint="eastAsia"/>
        </w:rPr>
        <w:t>の利用に焦点を当てる。</w:t>
      </w:r>
    </w:p>
    <w:p w14:paraId="1F836079" w14:textId="48AC7498" w:rsidR="00E0130F" w:rsidRPr="00E0130F" w:rsidRDefault="00E0130F" w:rsidP="00E0130F">
      <w:pPr>
        <w:pStyle w:val="aa"/>
        <w:numPr>
          <w:ilvl w:val="0"/>
          <w:numId w:val="1"/>
        </w:numPr>
        <w:ind w:leftChars="0"/>
        <w:rPr>
          <w:rFonts w:hint="eastAsia"/>
        </w:rPr>
      </w:pPr>
      <w:r w:rsidRPr="00E0130F">
        <w:rPr>
          <w:rFonts w:hint="eastAsia"/>
        </w:rPr>
        <w:t>すべての医薬品およびワクチン</w:t>
      </w:r>
    </w:p>
    <w:p w14:paraId="0E18CC70" w14:textId="77777777" w:rsidR="00E0130F" w:rsidRPr="00E0130F" w:rsidRDefault="00E0130F" w:rsidP="00E0130F">
      <w:pPr>
        <w:pStyle w:val="aa"/>
        <w:numPr>
          <w:ilvl w:val="0"/>
          <w:numId w:val="1"/>
        </w:numPr>
        <w:ind w:leftChars="0"/>
        <w:rPr>
          <w:rFonts w:hint="eastAsia"/>
        </w:rPr>
      </w:pPr>
      <w:r w:rsidRPr="00E0130F">
        <w:rPr>
          <w:rFonts w:hint="eastAsia"/>
        </w:rPr>
        <w:t>高度に専門化された治療法（細胞療法や遺伝子療法など）</w:t>
      </w:r>
    </w:p>
    <w:p w14:paraId="6867AD4A" w14:textId="75556365" w:rsidR="00E0130F" w:rsidRPr="00E0130F" w:rsidRDefault="00E0130F" w:rsidP="00E0130F">
      <w:pPr>
        <w:pStyle w:val="aa"/>
        <w:numPr>
          <w:ilvl w:val="0"/>
          <w:numId w:val="1"/>
        </w:numPr>
        <w:ind w:leftChars="0"/>
        <w:rPr>
          <w:rFonts w:hint="eastAsia"/>
        </w:rPr>
      </w:pPr>
      <w:r w:rsidRPr="00E0130F">
        <w:rPr>
          <w:rFonts w:hint="eastAsia"/>
        </w:rPr>
        <w:t>上記の技術に関連する健康上の成果を改善するその他の医療技術（例えば病理検査や画像技術）</w:t>
      </w:r>
    </w:p>
    <w:p w14:paraId="6C6FF075" w14:textId="77777777" w:rsidR="00E0130F" w:rsidRPr="00E0130F" w:rsidRDefault="00E0130F" w:rsidP="00E0130F">
      <w:pPr>
        <w:pStyle w:val="aa"/>
        <w:numPr>
          <w:ilvl w:val="0"/>
          <w:numId w:val="1"/>
        </w:numPr>
        <w:ind w:leftChars="0"/>
        <w:rPr>
          <w:rFonts w:hint="eastAsia"/>
        </w:rPr>
      </w:pPr>
      <w:r w:rsidRPr="00E0130F">
        <w:rPr>
          <w:rFonts w:hint="eastAsia"/>
        </w:rPr>
        <w:t>新しい医療技術の必要性、アクセス可能性、有効性、費用対効果に影響を与える可能性のある、予測可能な医療の変化。</w:t>
      </w:r>
    </w:p>
    <w:p w14:paraId="1D68AD05" w14:textId="77777777" w:rsidR="00E0130F" w:rsidRPr="00E0130F" w:rsidRDefault="00E0130F" w:rsidP="00E0130F">
      <w:pPr>
        <w:rPr>
          <w:rFonts w:hint="eastAsia"/>
        </w:rPr>
      </w:pPr>
      <w:r w:rsidRPr="00E0130F">
        <w:rPr>
          <w:rFonts w:hint="eastAsia"/>
        </w:rPr>
        <w:t>本論文は、以下の問題を取り上げる</w:t>
      </w:r>
      <w:r w:rsidRPr="00E0130F">
        <w:rPr>
          <w:rFonts w:hint="eastAsia"/>
        </w:rPr>
        <w:t>2</w:t>
      </w:r>
      <w:r w:rsidRPr="00E0130F">
        <w:rPr>
          <w:rFonts w:hint="eastAsia"/>
        </w:rPr>
        <w:t>つの相互に関連したパートに分かれている。</w:t>
      </w:r>
    </w:p>
    <w:p w14:paraId="53C25DAD" w14:textId="4CD22156" w:rsidR="00E0130F" w:rsidRPr="00E0130F" w:rsidRDefault="00E0130F" w:rsidP="00E0130F">
      <w:pPr>
        <w:pStyle w:val="aa"/>
        <w:numPr>
          <w:ilvl w:val="0"/>
          <w:numId w:val="3"/>
        </w:numPr>
        <w:ind w:leftChars="0"/>
        <w:rPr>
          <w:rFonts w:hint="eastAsia"/>
        </w:rPr>
      </w:pPr>
      <w:r w:rsidRPr="00E0130F">
        <w:rPr>
          <w:rFonts w:hint="eastAsia"/>
        </w:rPr>
        <w:t>第</w:t>
      </w:r>
      <w:r w:rsidRPr="00E0130F">
        <w:rPr>
          <w:rFonts w:hint="eastAsia"/>
        </w:rPr>
        <w:t>1</w:t>
      </w:r>
      <w:r w:rsidRPr="00E0130F">
        <w:rPr>
          <w:rFonts w:hint="eastAsia"/>
        </w:rPr>
        <w:t>部：オーストラリアにおける医療技術のライフサイクル全体を通じた評価における</w:t>
      </w:r>
      <w:r w:rsidRPr="00E0130F">
        <w:rPr>
          <w:rFonts w:hint="eastAsia"/>
        </w:rPr>
        <w:t>RWD</w:t>
      </w:r>
      <w:r w:rsidRPr="00E0130F">
        <w:rPr>
          <w:rFonts w:hint="eastAsia"/>
        </w:rPr>
        <w:t>の利用可能性と、</w:t>
      </w:r>
      <w:r w:rsidRPr="00E0130F">
        <w:rPr>
          <w:rFonts w:hint="eastAsia"/>
        </w:rPr>
        <w:t>RWD</w:t>
      </w:r>
      <w:r w:rsidRPr="00E0130F">
        <w:rPr>
          <w:rFonts w:hint="eastAsia"/>
        </w:rPr>
        <w:t>の利用可能性とアクセス性。</w:t>
      </w:r>
    </w:p>
    <w:p w14:paraId="62908CEA" w14:textId="2CA52BF5" w:rsidR="00E0130F" w:rsidRPr="00E0130F" w:rsidRDefault="00E0130F" w:rsidP="00E0130F">
      <w:pPr>
        <w:pStyle w:val="aa"/>
        <w:numPr>
          <w:ilvl w:val="0"/>
          <w:numId w:val="4"/>
        </w:numPr>
        <w:ind w:leftChars="0"/>
        <w:rPr>
          <w:rFonts w:hint="eastAsia"/>
        </w:rPr>
      </w:pPr>
      <w:r w:rsidRPr="00E0130F">
        <w:rPr>
          <w:rFonts w:hint="eastAsia"/>
        </w:rPr>
        <w:t>HTA</w:t>
      </w:r>
      <w:r w:rsidRPr="00E0130F">
        <w:rPr>
          <w:rFonts w:hint="eastAsia"/>
        </w:rPr>
        <w:t>における</w:t>
      </w:r>
      <w:r w:rsidRPr="00E0130F">
        <w:rPr>
          <w:rFonts w:hint="eastAsia"/>
        </w:rPr>
        <w:t>RWD</w:t>
      </w:r>
      <w:r w:rsidRPr="00E0130F">
        <w:rPr>
          <w:rFonts w:hint="eastAsia"/>
        </w:rPr>
        <w:t>の利用に関する世界の主な動向</w:t>
      </w:r>
      <w:r w:rsidRPr="00E0130F">
        <w:rPr>
          <w:rFonts w:hint="eastAsia"/>
        </w:rPr>
        <w:t xml:space="preserve"> </w:t>
      </w:r>
    </w:p>
    <w:p w14:paraId="5E7AC965" w14:textId="2D559C7E" w:rsidR="00E0130F" w:rsidRPr="00E0130F" w:rsidRDefault="00E0130F" w:rsidP="00E0130F">
      <w:pPr>
        <w:pStyle w:val="aa"/>
        <w:numPr>
          <w:ilvl w:val="0"/>
          <w:numId w:val="4"/>
        </w:numPr>
        <w:ind w:leftChars="0"/>
        <w:rPr>
          <w:rFonts w:hint="eastAsia"/>
        </w:rPr>
      </w:pPr>
      <w:r w:rsidRPr="00E0130F">
        <w:rPr>
          <w:rFonts w:hint="eastAsia"/>
        </w:rPr>
        <w:t>オーストラリアにおける医療技術の普及率と性能（評価）の推定に用いられた</w:t>
      </w:r>
      <w:r w:rsidRPr="00E0130F">
        <w:rPr>
          <w:rFonts w:hint="eastAsia"/>
        </w:rPr>
        <w:t>RWD</w:t>
      </w:r>
      <w:r w:rsidRPr="00E0130F">
        <w:rPr>
          <w:rFonts w:hint="eastAsia"/>
        </w:rPr>
        <w:t>のソースと種類</w:t>
      </w:r>
      <w:r w:rsidRPr="00E0130F">
        <w:rPr>
          <w:rFonts w:hint="eastAsia"/>
        </w:rPr>
        <w:t xml:space="preserve"> </w:t>
      </w:r>
    </w:p>
    <w:p w14:paraId="278D001C" w14:textId="099C4A13" w:rsidR="00E0130F" w:rsidRPr="00E0130F" w:rsidRDefault="00E0130F" w:rsidP="00E0130F">
      <w:pPr>
        <w:pStyle w:val="aa"/>
        <w:numPr>
          <w:ilvl w:val="0"/>
          <w:numId w:val="4"/>
        </w:numPr>
        <w:ind w:leftChars="0"/>
        <w:rPr>
          <w:rFonts w:hint="eastAsia"/>
        </w:rPr>
      </w:pPr>
      <w:r w:rsidRPr="00E0130F">
        <w:rPr>
          <w:rFonts w:hint="eastAsia"/>
        </w:rPr>
        <w:t>オーストラリアにおける</w:t>
      </w:r>
      <w:r w:rsidRPr="00E0130F">
        <w:rPr>
          <w:rFonts w:hint="eastAsia"/>
        </w:rPr>
        <w:t xml:space="preserve"> HTA </w:t>
      </w:r>
      <w:r w:rsidRPr="00E0130F">
        <w:rPr>
          <w:rFonts w:hint="eastAsia"/>
        </w:rPr>
        <w:t>における</w:t>
      </w:r>
      <w:r w:rsidRPr="00E0130F">
        <w:rPr>
          <w:rFonts w:hint="eastAsia"/>
        </w:rPr>
        <w:t xml:space="preserve"> RWD </w:t>
      </w:r>
      <w:r w:rsidRPr="00E0130F">
        <w:rPr>
          <w:rFonts w:hint="eastAsia"/>
        </w:rPr>
        <w:t>へのアクセスにおける障壁と促進要因</w:t>
      </w:r>
      <w:r w:rsidRPr="00E0130F">
        <w:rPr>
          <w:rFonts w:hint="eastAsia"/>
        </w:rPr>
        <w:t xml:space="preserve"> </w:t>
      </w:r>
    </w:p>
    <w:p w14:paraId="6749F289" w14:textId="7450EB20" w:rsidR="00E0130F" w:rsidRPr="00E0130F" w:rsidRDefault="00E0130F" w:rsidP="00E0130F">
      <w:pPr>
        <w:pStyle w:val="aa"/>
        <w:numPr>
          <w:ilvl w:val="0"/>
          <w:numId w:val="4"/>
        </w:numPr>
        <w:ind w:leftChars="0"/>
        <w:rPr>
          <w:rFonts w:hint="eastAsia"/>
        </w:rPr>
      </w:pPr>
      <w:r w:rsidRPr="00E0130F">
        <w:rPr>
          <w:rFonts w:hint="eastAsia"/>
        </w:rPr>
        <w:t>将来的に医療技術の普及と成果を推定するために必要となる</w:t>
      </w:r>
      <w:r w:rsidRPr="00E0130F">
        <w:rPr>
          <w:rFonts w:hint="eastAsia"/>
        </w:rPr>
        <w:t>RWD</w:t>
      </w:r>
      <w:r w:rsidRPr="00E0130F">
        <w:rPr>
          <w:rFonts w:hint="eastAsia"/>
        </w:rPr>
        <w:t>のソースと種類</w:t>
      </w:r>
      <w:r w:rsidRPr="00E0130F">
        <w:rPr>
          <w:rFonts w:hint="eastAsia"/>
        </w:rPr>
        <w:t xml:space="preserve"> </w:t>
      </w:r>
    </w:p>
    <w:p w14:paraId="1AEA4CBC" w14:textId="4EE80D72" w:rsidR="00E0130F" w:rsidRPr="00E0130F" w:rsidRDefault="00E0130F" w:rsidP="00E0130F">
      <w:pPr>
        <w:pStyle w:val="aa"/>
        <w:numPr>
          <w:ilvl w:val="0"/>
          <w:numId w:val="4"/>
        </w:numPr>
        <w:ind w:leftChars="0"/>
        <w:rPr>
          <w:rFonts w:hint="eastAsia"/>
        </w:rPr>
      </w:pPr>
      <w:r w:rsidRPr="00E0130F">
        <w:rPr>
          <w:rFonts w:hint="eastAsia"/>
        </w:rPr>
        <w:t>オーストラリアにおける</w:t>
      </w:r>
      <w:r w:rsidRPr="00E0130F">
        <w:rPr>
          <w:rFonts w:hint="eastAsia"/>
        </w:rPr>
        <w:t xml:space="preserve"> HTA </w:t>
      </w:r>
      <w:r w:rsidRPr="00E0130F">
        <w:rPr>
          <w:rFonts w:hint="eastAsia"/>
        </w:rPr>
        <w:t>を支援するために</w:t>
      </w:r>
      <w:r w:rsidRPr="00E0130F">
        <w:rPr>
          <w:rFonts w:hint="eastAsia"/>
        </w:rPr>
        <w:t xml:space="preserve"> RWD </w:t>
      </w:r>
      <w:r w:rsidRPr="00E0130F">
        <w:rPr>
          <w:rFonts w:hint="eastAsia"/>
        </w:rPr>
        <w:t>の入手可能性と利用を最適化する機会。</w:t>
      </w:r>
    </w:p>
    <w:p w14:paraId="298E8F68" w14:textId="01BF9EEA" w:rsidR="00E0130F" w:rsidRPr="00E0130F" w:rsidRDefault="00E0130F" w:rsidP="00E0130F">
      <w:pPr>
        <w:pStyle w:val="aa"/>
        <w:numPr>
          <w:ilvl w:val="0"/>
          <w:numId w:val="3"/>
        </w:numPr>
        <w:ind w:leftChars="0"/>
        <w:rPr>
          <w:rFonts w:hint="eastAsia"/>
        </w:rPr>
      </w:pPr>
      <w:r w:rsidRPr="00E0130F">
        <w:rPr>
          <w:rFonts w:hint="eastAsia"/>
        </w:rPr>
        <w:t>第</w:t>
      </w:r>
      <w:r w:rsidRPr="00E0130F">
        <w:rPr>
          <w:rFonts w:hint="eastAsia"/>
        </w:rPr>
        <w:t xml:space="preserve"> II </w:t>
      </w:r>
      <w:r w:rsidRPr="00E0130F">
        <w:rPr>
          <w:rFonts w:hint="eastAsia"/>
        </w:rPr>
        <w:t>部：オーストラリアにおける</w:t>
      </w:r>
      <w:r w:rsidRPr="00E0130F">
        <w:rPr>
          <w:rFonts w:hint="eastAsia"/>
        </w:rPr>
        <w:t xml:space="preserve"> HTA </w:t>
      </w:r>
      <w:r w:rsidRPr="00E0130F">
        <w:rPr>
          <w:rFonts w:hint="eastAsia"/>
        </w:rPr>
        <w:t>のライフサイクルをサポートするための強固な</w:t>
      </w:r>
      <w:r w:rsidRPr="00E0130F">
        <w:rPr>
          <w:rFonts w:hint="eastAsia"/>
        </w:rPr>
        <w:t xml:space="preserve"> RWE </w:t>
      </w:r>
      <w:r w:rsidRPr="00E0130F">
        <w:rPr>
          <w:rFonts w:hint="eastAsia"/>
        </w:rPr>
        <w:t>を生成するために、</w:t>
      </w:r>
      <w:r w:rsidRPr="00E0130F">
        <w:rPr>
          <w:rFonts w:hint="eastAsia"/>
        </w:rPr>
        <w:t xml:space="preserve">RWD </w:t>
      </w:r>
      <w:r w:rsidRPr="00E0130F">
        <w:rPr>
          <w:rFonts w:hint="eastAsia"/>
        </w:rPr>
        <w:t>の入手可能性と利用を最適化するロードマップ。</w:t>
      </w:r>
    </w:p>
    <w:p w14:paraId="5D204AB7" w14:textId="1D249972" w:rsidR="00E0130F" w:rsidRPr="00E0130F" w:rsidRDefault="00E0130F" w:rsidP="00E0130F">
      <w:pPr>
        <w:pStyle w:val="aa"/>
        <w:numPr>
          <w:ilvl w:val="2"/>
          <w:numId w:val="6"/>
        </w:numPr>
        <w:ind w:leftChars="0"/>
        <w:rPr>
          <w:rFonts w:hint="eastAsia"/>
        </w:rPr>
      </w:pPr>
      <w:r w:rsidRPr="00E0130F">
        <w:rPr>
          <w:rFonts w:hint="eastAsia"/>
        </w:rPr>
        <w:t>オーストラリアにおける</w:t>
      </w:r>
      <w:r w:rsidRPr="00E0130F">
        <w:rPr>
          <w:rFonts w:hint="eastAsia"/>
        </w:rPr>
        <w:t>HTA</w:t>
      </w:r>
      <w:r w:rsidRPr="00E0130F">
        <w:rPr>
          <w:rFonts w:hint="eastAsia"/>
        </w:rPr>
        <w:t>をサポートするために</w:t>
      </w:r>
      <w:r w:rsidRPr="00E0130F">
        <w:rPr>
          <w:rFonts w:hint="eastAsia"/>
        </w:rPr>
        <w:t>RWD</w:t>
      </w:r>
      <w:r w:rsidRPr="00E0130F">
        <w:rPr>
          <w:rFonts w:hint="eastAsia"/>
        </w:rPr>
        <w:t>の利用を最大化するために必要な、短期、中期、長期にわたる一連のハイレベルなステップ。</w:t>
      </w:r>
    </w:p>
    <w:p w14:paraId="3ADF48B0" w14:textId="77777777" w:rsidR="00E0130F" w:rsidRPr="00E0130F" w:rsidRDefault="00E0130F" w:rsidP="00E0130F">
      <w:pPr>
        <w:rPr>
          <w:rFonts w:hint="eastAsia"/>
        </w:rPr>
      </w:pPr>
      <w:r w:rsidRPr="00E0130F">
        <w:rPr>
          <w:rFonts w:hint="eastAsia"/>
        </w:rPr>
        <w:lastRenderedPageBreak/>
        <w:t>この文書は、以下のものではないことに留意することが重要である。</w:t>
      </w:r>
    </w:p>
    <w:p w14:paraId="22F46B98" w14:textId="7D6C0AF8" w:rsidR="00E0130F" w:rsidRPr="00E0130F" w:rsidRDefault="00E0130F" w:rsidP="00E0130F">
      <w:pPr>
        <w:pStyle w:val="aa"/>
        <w:numPr>
          <w:ilvl w:val="0"/>
          <w:numId w:val="8"/>
        </w:numPr>
        <w:ind w:leftChars="0"/>
        <w:rPr>
          <w:rFonts w:hint="eastAsia"/>
        </w:rPr>
      </w:pPr>
      <w:r w:rsidRPr="00E0130F">
        <w:rPr>
          <w:rFonts w:hint="eastAsia"/>
        </w:rPr>
        <w:t>グローバルな</w:t>
      </w:r>
      <w:r w:rsidRPr="00E0130F">
        <w:rPr>
          <w:rFonts w:hint="eastAsia"/>
        </w:rPr>
        <w:t>RWE</w:t>
      </w:r>
      <w:r w:rsidRPr="00E0130F">
        <w:rPr>
          <w:rFonts w:hint="eastAsia"/>
        </w:rPr>
        <w:t>開発に関する系統的レビュー</w:t>
      </w:r>
    </w:p>
    <w:p w14:paraId="15D07007" w14:textId="09078299" w:rsidR="00E0130F" w:rsidRPr="00E0130F" w:rsidRDefault="00E0130F" w:rsidP="00E0130F">
      <w:pPr>
        <w:pStyle w:val="aa"/>
        <w:numPr>
          <w:ilvl w:val="0"/>
          <w:numId w:val="8"/>
        </w:numPr>
        <w:ind w:leftChars="0"/>
        <w:rPr>
          <w:rFonts w:hint="eastAsia"/>
        </w:rPr>
      </w:pPr>
      <w:r w:rsidRPr="00E0130F">
        <w:rPr>
          <w:rFonts w:hint="eastAsia"/>
        </w:rPr>
        <w:t>オーストラリアにおける実世界データの収集に関する監査</w:t>
      </w:r>
    </w:p>
    <w:p w14:paraId="5B87A02F" w14:textId="77777777" w:rsidR="00E0130F" w:rsidRDefault="00E0130F" w:rsidP="00E0130F">
      <w:pPr>
        <w:pStyle w:val="aa"/>
        <w:numPr>
          <w:ilvl w:val="0"/>
          <w:numId w:val="8"/>
        </w:numPr>
        <w:ind w:leftChars="0"/>
      </w:pPr>
      <w:r w:rsidRPr="00E0130F">
        <w:rPr>
          <w:rFonts w:hint="eastAsia"/>
        </w:rPr>
        <w:t>新たな医療技術の将来予測</w:t>
      </w:r>
    </w:p>
    <w:p w14:paraId="1DFB40AA" w14:textId="07EAF362" w:rsidR="00DF37BE" w:rsidRPr="00E0130F" w:rsidRDefault="00E0130F" w:rsidP="00E0130F">
      <w:pPr>
        <w:pStyle w:val="aa"/>
        <w:numPr>
          <w:ilvl w:val="0"/>
          <w:numId w:val="8"/>
        </w:numPr>
        <w:ind w:leftChars="0"/>
      </w:pPr>
      <w:r w:rsidRPr="00E0130F">
        <w:rPr>
          <w:rFonts w:hint="eastAsia"/>
        </w:rPr>
        <w:t>RWE</w:t>
      </w:r>
      <w:r w:rsidRPr="00E0130F">
        <w:rPr>
          <w:rFonts w:hint="eastAsia"/>
        </w:rPr>
        <w:t>を生成するためのベストプラクティス手法の総合。</w:t>
      </w:r>
    </w:p>
    <w:sectPr w:rsidR="00DF37BE" w:rsidRPr="00E0130F" w:rsidSect="00817928">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F4E6E" w14:textId="77777777" w:rsidR="0052192F" w:rsidRDefault="0052192F" w:rsidP="00DF37BE">
      <w:pPr>
        <w:spacing w:after="0" w:line="240" w:lineRule="auto"/>
      </w:pPr>
      <w:r>
        <w:separator/>
      </w:r>
    </w:p>
  </w:endnote>
  <w:endnote w:type="continuationSeparator" w:id="0">
    <w:p w14:paraId="40A463B7" w14:textId="77777777" w:rsidR="0052192F" w:rsidRDefault="0052192F" w:rsidP="00DF3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9164A" w14:textId="77777777" w:rsidR="0052192F" w:rsidRDefault="0052192F" w:rsidP="00DF37BE">
      <w:pPr>
        <w:spacing w:after="0" w:line="240" w:lineRule="auto"/>
      </w:pPr>
      <w:r>
        <w:separator/>
      </w:r>
    </w:p>
  </w:footnote>
  <w:footnote w:type="continuationSeparator" w:id="0">
    <w:p w14:paraId="1B5C401B" w14:textId="77777777" w:rsidR="0052192F" w:rsidRDefault="0052192F" w:rsidP="00DF37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6284B"/>
    <w:multiLevelType w:val="hybridMultilevel"/>
    <w:tmpl w:val="F9DC1C7E"/>
    <w:lvl w:ilvl="0" w:tplc="FFFFFFFF">
      <w:start w:val="1"/>
      <w:numFmt w:val="bullet"/>
      <w:lvlText w:val=""/>
      <w:lvlJc w:val="left"/>
      <w:pPr>
        <w:ind w:left="880" w:hanging="440"/>
      </w:pPr>
      <w:rPr>
        <w:rFonts w:ascii="Symbol" w:hAnsi="Symbol"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 w15:restartNumberingAfterBreak="0">
    <w:nsid w:val="160617D8"/>
    <w:multiLevelType w:val="hybridMultilevel"/>
    <w:tmpl w:val="C8BEC162"/>
    <w:lvl w:ilvl="0" w:tplc="8C38A6E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1795507"/>
    <w:multiLevelType w:val="hybridMultilevel"/>
    <w:tmpl w:val="79B2287E"/>
    <w:lvl w:ilvl="0" w:tplc="FFFFFFFF">
      <w:start w:val="1"/>
      <w:numFmt w:val="bullet"/>
      <w:lvlText w:val=""/>
      <w:lvlJc w:val="left"/>
      <w:pPr>
        <w:ind w:left="440" w:hanging="440"/>
      </w:pPr>
      <w:rPr>
        <w:rFonts w:ascii="Symbol" w:hAnsi="Symbo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6553365"/>
    <w:multiLevelType w:val="hybridMultilevel"/>
    <w:tmpl w:val="D1868D0A"/>
    <w:lvl w:ilvl="0" w:tplc="FFFFFFFF">
      <w:start w:val="1"/>
      <w:numFmt w:val="bullet"/>
      <w:lvlText w:val=""/>
      <w:lvlJc w:val="left"/>
      <w:pPr>
        <w:ind w:left="880" w:hanging="440"/>
      </w:pPr>
      <w:rPr>
        <w:rFonts w:ascii="Symbol" w:hAnsi="Symbol"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4" w15:restartNumberingAfterBreak="0">
    <w:nsid w:val="4C812310"/>
    <w:multiLevelType w:val="hybridMultilevel"/>
    <w:tmpl w:val="2408ABF8"/>
    <w:lvl w:ilvl="0" w:tplc="0409000B">
      <w:start w:val="1"/>
      <w:numFmt w:val="bullet"/>
      <w:lvlText w:val=""/>
      <w:lvlJc w:val="left"/>
      <w:pPr>
        <w:ind w:left="549" w:hanging="440"/>
      </w:pPr>
      <w:rPr>
        <w:rFonts w:ascii="Wingdings" w:hAnsi="Wingdings" w:hint="default"/>
      </w:rPr>
    </w:lvl>
    <w:lvl w:ilvl="1" w:tplc="FA5668C2">
      <w:numFmt w:val="bullet"/>
      <w:lvlText w:val="·"/>
      <w:lvlJc w:val="left"/>
      <w:pPr>
        <w:ind w:left="909" w:hanging="360"/>
      </w:pPr>
      <w:rPr>
        <w:rFonts w:ascii="ＭＳ Ｐ明朝" w:eastAsia="ＭＳ Ｐ明朝" w:hAnsi="ＭＳ Ｐ明朝" w:cstheme="minorBidi" w:hint="eastAsia"/>
      </w:rPr>
    </w:lvl>
    <w:lvl w:ilvl="2" w:tplc="0409000D" w:tentative="1">
      <w:start w:val="1"/>
      <w:numFmt w:val="bullet"/>
      <w:lvlText w:val=""/>
      <w:lvlJc w:val="left"/>
      <w:pPr>
        <w:ind w:left="1429" w:hanging="440"/>
      </w:pPr>
      <w:rPr>
        <w:rFonts w:ascii="Wingdings" w:hAnsi="Wingdings" w:hint="default"/>
      </w:rPr>
    </w:lvl>
    <w:lvl w:ilvl="3" w:tplc="04090001" w:tentative="1">
      <w:start w:val="1"/>
      <w:numFmt w:val="bullet"/>
      <w:lvlText w:val=""/>
      <w:lvlJc w:val="left"/>
      <w:pPr>
        <w:ind w:left="1869" w:hanging="440"/>
      </w:pPr>
      <w:rPr>
        <w:rFonts w:ascii="Wingdings" w:hAnsi="Wingdings" w:hint="default"/>
      </w:rPr>
    </w:lvl>
    <w:lvl w:ilvl="4" w:tplc="0409000B" w:tentative="1">
      <w:start w:val="1"/>
      <w:numFmt w:val="bullet"/>
      <w:lvlText w:val=""/>
      <w:lvlJc w:val="left"/>
      <w:pPr>
        <w:ind w:left="2309" w:hanging="440"/>
      </w:pPr>
      <w:rPr>
        <w:rFonts w:ascii="Wingdings" w:hAnsi="Wingdings" w:hint="default"/>
      </w:rPr>
    </w:lvl>
    <w:lvl w:ilvl="5" w:tplc="0409000D" w:tentative="1">
      <w:start w:val="1"/>
      <w:numFmt w:val="bullet"/>
      <w:lvlText w:val=""/>
      <w:lvlJc w:val="left"/>
      <w:pPr>
        <w:ind w:left="2749" w:hanging="440"/>
      </w:pPr>
      <w:rPr>
        <w:rFonts w:ascii="Wingdings" w:hAnsi="Wingdings" w:hint="default"/>
      </w:rPr>
    </w:lvl>
    <w:lvl w:ilvl="6" w:tplc="04090001" w:tentative="1">
      <w:start w:val="1"/>
      <w:numFmt w:val="bullet"/>
      <w:lvlText w:val=""/>
      <w:lvlJc w:val="left"/>
      <w:pPr>
        <w:ind w:left="3189" w:hanging="440"/>
      </w:pPr>
      <w:rPr>
        <w:rFonts w:ascii="Wingdings" w:hAnsi="Wingdings" w:hint="default"/>
      </w:rPr>
    </w:lvl>
    <w:lvl w:ilvl="7" w:tplc="0409000B" w:tentative="1">
      <w:start w:val="1"/>
      <w:numFmt w:val="bullet"/>
      <w:lvlText w:val=""/>
      <w:lvlJc w:val="left"/>
      <w:pPr>
        <w:ind w:left="3629" w:hanging="440"/>
      </w:pPr>
      <w:rPr>
        <w:rFonts w:ascii="Wingdings" w:hAnsi="Wingdings" w:hint="default"/>
      </w:rPr>
    </w:lvl>
    <w:lvl w:ilvl="8" w:tplc="0409000D" w:tentative="1">
      <w:start w:val="1"/>
      <w:numFmt w:val="bullet"/>
      <w:lvlText w:val=""/>
      <w:lvlJc w:val="left"/>
      <w:pPr>
        <w:ind w:left="4069" w:hanging="440"/>
      </w:pPr>
      <w:rPr>
        <w:rFonts w:ascii="Wingdings" w:hAnsi="Wingdings" w:hint="default"/>
      </w:rPr>
    </w:lvl>
  </w:abstractNum>
  <w:abstractNum w:abstractNumId="5" w15:restartNumberingAfterBreak="0">
    <w:nsid w:val="64E0433B"/>
    <w:multiLevelType w:val="hybridMultilevel"/>
    <w:tmpl w:val="4BB492E0"/>
    <w:lvl w:ilvl="0" w:tplc="11DC669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70107521"/>
    <w:multiLevelType w:val="hybridMultilevel"/>
    <w:tmpl w:val="723C0BAA"/>
    <w:lvl w:ilvl="0" w:tplc="FFFFFFFF">
      <w:start w:val="1"/>
      <w:numFmt w:val="bullet"/>
      <w:lvlText w:val=""/>
      <w:lvlJc w:val="left"/>
      <w:pPr>
        <w:ind w:left="989" w:hanging="440"/>
      </w:pPr>
      <w:rPr>
        <w:rFonts w:ascii="Symbol" w:hAnsi="Symbol" w:hint="default"/>
      </w:rPr>
    </w:lvl>
    <w:lvl w:ilvl="1" w:tplc="0409000B" w:tentative="1">
      <w:start w:val="1"/>
      <w:numFmt w:val="bullet"/>
      <w:lvlText w:val=""/>
      <w:lvlJc w:val="left"/>
      <w:pPr>
        <w:ind w:left="1429" w:hanging="440"/>
      </w:pPr>
      <w:rPr>
        <w:rFonts w:ascii="Wingdings" w:hAnsi="Wingdings" w:hint="default"/>
      </w:rPr>
    </w:lvl>
    <w:lvl w:ilvl="2" w:tplc="0409000D" w:tentative="1">
      <w:start w:val="1"/>
      <w:numFmt w:val="bullet"/>
      <w:lvlText w:val=""/>
      <w:lvlJc w:val="left"/>
      <w:pPr>
        <w:ind w:left="1869" w:hanging="440"/>
      </w:pPr>
      <w:rPr>
        <w:rFonts w:ascii="Wingdings" w:hAnsi="Wingdings" w:hint="default"/>
      </w:rPr>
    </w:lvl>
    <w:lvl w:ilvl="3" w:tplc="04090001" w:tentative="1">
      <w:start w:val="1"/>
      <w:numFmt w:val="bullet"/>
      <w:lvlText w:val=""/>
      <w:lvlJc w:val="left"/>
      <w:pPr>
        <w:ind w:left="2309" w:hanging="440"/>
      </w:pPr>
      <w:rPr>
        <w:rFonts w:ascii="Wingdings" w:hAnsi="Wingdings" w:hint="default"/>
      </w:rPr>
    </w:lvl>
    <w:lvl w:ilvl="4" w:tplc="0409000B" w:tentative="1">
      <w:start w:val="1"/>
      <w:numFmt w:val="bullet"/>
      <w:lvlText w:val=""/>
      <w:lvlJc w:val="left"/>
      <w:pPr>
        <w:ind w:left="2749" w:hanging="440"/>
      </w:pPr>
      <w:rPr>
        <w:rFonts w:ascii="Wingdings" w:hAnsi="Wingdings" w:hint="default"/>
      </w:rPr>
    </w:lvl>
    <w:lvl w:ilvl="5" w:tplc="0409000D" w:tentative="1">
      <w:start w:val="1"/>
      <w:numFmt w:val="bullet"/>
      <w:lvlText w:val=""/>
      <w:lvlJc w:val="left"/>
      <w:pPr>
        <w:ind w:left="3189" w:hanging="440"/>
      </w:pPr>
      <w:rPr>
        <w:rFonts w:ascii="Wingdings" w:hAnsi="Wingdings" w:hint="default"/>
      </w:rPr>
    </w:lvl>
    <w:lvl w:ilvl="6" w:tplc="04090001" w:tentative="1">
      <w:start w:val="1"/>
      <w:numFmt w:val="bullet"/>
      <w:lvlText w:val=""/>
      <w:lvlJc w:val="left"/>
      <w:pPr>
        <w:ind w:left="3629" w:hanging="440"/>
      </w:pPr>
      <w:rPr>
        <w:rFonts w:ascii="Wingdings" w:hAnsi="Wingdings" w:hint="default"/>
      </w:rPr>
    </w:lvl>
    <w:lvl w:ilvl="7" w:tplc="0409000B" w:tentative="1">
      <w:start w:val="1"/>
      <w:numFmt w:val="bullet"/>
      <w:lvlText w:val=""/>
      <w:lvlJc w:val="left"/>
      <w:pPr>
        <w:ind w:left="4069" w:hanging="440"/>
      </w:pPr>
      <w:rPr>
        <w:rFonts w:ascii="Wingdings" w:hAnsi="Wingdings" w:hint="default"/>
      </w:rPr>
    </w:lvl>
    <w:lvl w:ilvl="8" w:tplc="0409000D" w:tentative="1">
      <w:start w:val="1"/>
      <w:numFmt w:val="bullet"/>
      <w:lvlText w:val=""/>
      <w:lvlJc w:val="left"/>
      <w:pPr>
        <w:ind w:left="4509" w:hanging="440"/>
      </w:pPr>
      <w:rPr>
        <w:rFonts w:ascii="Wingdings" w:hAnsi="Wingdings" w:hint="default"/>
      </w:rPr>
    </w:lvl>
  </w:abstractNum>
  <w:abstractNum w:abstractNumId="7" w15:restartNumberingAfterBreak="0">
    <w:nsid w:val="7E0610B6"/>
    <w:multiLevelType w:val="hybridMultilevel"/>
    <w:tmpl w:val="5DF0598E"/>
    <w:lvl w:ilvl="0" w:tplc="FFFFFFFF">
      <w:start w:val="1"/>
      <w:numFmt w:val="bullet"/>
      <w:lvlText w:val=""/>
      <w:lvlJc w:val="left"/>
      <w:pPr>
        <w:ind w:left="440" w:hanging="440"/>
      </w:pPr>
      <w:rPr>
        <w:rFonts w:ascii="Symbol" w:hAnsi="Symbol" w:hint="default"/>
      </w:rPr>
    </w:lvl>
    <w:lvl w:ilvl="1" w:tplc="0409000B">
      <w:start w:val="1"/>
      <w:numFmt w:val="bullet"/>
      <w:lvlText w:val=""/>
      <w:lvlJc w:val="left"/>
      <w:pPr>
        <w:ind w:left="880" w:hanging="440"/>
      </w:pPr>
      <w:rPr>
        <w:rFonts w:ascii="Wingdings" w:hAnsi="Wingdings" w:hint="default"/>
      </w:rPr>
    </w:lvl>
    <w:lvl w:ilvl="2" w:tplc="FFFFFFFF">
      <w:start w:val="1"/>
      <w:numFmt w:val="bullet"/>
      <w:lvlText w:val=""/>
      <w:lvlJc w:val="left"/>
      <w:pPr>
        <w:ind w:left="989" w:hanging="440"/>
      </w:pPr>
      <w:rPr>
        <w:rFonts w:ascii="Symbol" w:hAnsi="Symbol"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41052859">
    <w:abstractNumId w:val="0"/>
  </w:num>
  <w:num w:numId="2" w16cid:durableId="1083794997">
    <w:abstractNumId w:val="1"/>
  </w:num>
  <w:num w:numId="3" w16cid:durableId="672296718">
    <w:abstractNumId w:val="4"/>
  </w:num>
  <w:num w:numId="4" w16cid:durableId="107357232">
    <w:abstractNumId w:val="6"/>
  </w:num>
  <w:num w:numId="5" w16cid:durableId="334847589">
    <w:abstractNumId w:val="5"/>
  </w:num>
  <w:num w:numId="6" w16cid:durableId="2093312530">
    <w:abstractNumId w:val="7"/>
  </w:num>
  <w:num w:numId="7" w16cid:durableId="1463690416">
    <w:abstractNumId w:val="2"/>
  </w:num>
  <w:num w:numId="8" w16cid:durableId="5735139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422"/>
    <w:rsid w:val="00304F66"/>
    <w:rsid w:val="00486591"/>
    <w:rsid w:val="00505422"/>
    <w:rsid w:val="0052192F"/>
    <w:rsid w:val="005D28FD"/>
    <w:rsid w:val="006B1081"/>
    <w:rsid w:val="006D6FF4"/>
    <w:rsid w:val="00817928"/>
    <w:rsid w:val="00AE24C3"/>
    <w:rsid w:val="00DF37BE"/>
    <w:rsid w:val="00E01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2FD8D7"/>
  <w15:chartTrackingRefBased/>
  <w15:docId w15:val="{99C21E62-1CF1-4A72-AB75-C39A7CA07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5422"/>
    <w:pPr>
      <w:widowControl w:val="0"/>
    </w:pPr>
    <w:rPr>
      <w:rFonts w:ascii="Times New Roman" w:eastAsia="ＭＳ Ｐ明朝" w:hAnsi="Times New Roman"/>
      <w:sz w:val="21"/>
    </w:rPr>
  </w:style>
  <w:style w:type="paragraph" w:styleId="1">
    <w:name w:val="heading 1"/>
    <w:next w:val="a"/>
    <w:link w:val="10"/>
    <w:qFormat/>
    <w:rsid w:val="00505422"/>
    <w:pPr>
      <w:keepNext/>
      <w:keepLines/>
      <w:spacing w:before="600" w:after="240" w:line="276" w:lineRule="auto"/>
      <w:outlineLvl w:val="0"/>
    </w:pPr>
    <w:rPr>
      <w:rFonts w:asciiTheme="majorHAnsi" w:eastAsiaTheme="majorEastAsia" w:hAnsiTheme="majorHAnsi" w:cstheme="majorBidi"/>
      <w:b/>
      <w:bCs/>
      <w:color w:val="024D75"/>
      <w:spacing w:val="-1"/>
      <w:kern w:val="0"/>
      <w:sz w:val="36"/>
      <w:szCs w:val="28"/>
      <w:lang w:val="en-AU" w:eastAsia="en-A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05422"/>
    <w:rPr>
      <w:rFonts w:asciiTheme="majorHAnsi" w:eastAsiaTheme="majorEastAsia" w:hAnsiTheme="majorHAnsi" w:cstheme="majorBidi"/>
      <w:b/>
      <w:bCs/>
      <w:color w:val="024D75"/>
      <w:spacing w:val="-1"/>
      <w:kern w:val="0"/>
      <w:sz w:val="36"/>
      <w:szCs w:val="28"/>
      <w:lang w:val="en-AU" w:eastAsia="en-AU"/>
      <w14:ligatures w14:val="none"/>
    </w:rPr>
  </w:style>
  <w:style w:type="paragraph" w:styleId="a3">
    <w:name w:val="header"/>
    <w:basedOn w:val="a"/>
    <w:link w:val="a4"/>
    <w:uiPriority w:val="99"/>
    <w:unhideWhenUsed/>
    <w:rsid w:val="00DF37BE"/>
    <w:pPr>
      <w:tabs>
        <w:tab w:val="center" w:pos="4252"/>
        <w:tab w:val="right" w:pos="8504"/>
      </w:tabs>
      <w:snapToGrid w:val="0"/>
    </w:pPr>
  </w:style>
  <w:style w:type="character" w:customStyle="1" w:styleId="a4">
    <w:name w:val="ヘッダー (文字)"/>
    <w:basedOn w:val="a0"/>
    <w:link w:val="a3"/>
    <w:uiPriority w:val="99"/>
    <w:rsid w:val="00DF37BE"/>
    <w:rPr>
      <w:rFonts w:ascii="Times New Roman" w:eastAsia="ＭＳ Ｐ明朝" w:hAnsi="Times New Roman"/>
      <w:sz w:val="21"/>
    </w:rPr>
  </w:style>
  <w:style w:type="paragraph" w:styleId="a5">
    <w:name w:val="footer"/>
    <w:basedOn w:val="a"/>
    <w:link w:val="a6"/>
    <w:uiPriority w:val="99"/>
    <w:unhideWhenUsed/>
    <w:rsid w:val="00DF37BE"/>
    <w:pPr>
      <w:tabs>
        <w:tab w:val="center" w:pos="4252"/>
        <w:tab w:val="right" w:pos="8504"/>
      </w:tabs>
      <w:snapToGrid w:val="0"/>
    </w:pPr>
  </w:style>
  <w:style w:type="character" w:customStyle="1" w:styleId="a6">
    <w:name w:val="フッター (文字)"/>
    <w:basedOn w:val="a0"/>
    <w:link w:val="a5"/>
    <w:uiPriority w:val="99"/>
    <w:rsid w:val="00DF37BE"/>
    <w:rPr>
      <w:rFonts w:ascii="Times New Roman" w:eastAsia="ＭＳ Ｐ明朝" w:hAnsi="Times New Roman"/>
      <w:sz w:val="21"/>
    </w:rPr>
  </w:style>
  <w:style w:type="paragraph" w:styleId="11">
    <w:name w:val="toc 1"/>
    <w:basedOn w:val="a"/>
    <w:next w:val="a"/>
    <w:uiPriority w:val="39"/>
    <w:rsid w:val="00DF37BE"/>
    <w:pPr>
      <w:widowControl/>
      <w:tabs>
        <w:tab w:val="right" w:leader="dot" w:pos="9000"/>
      </w:tabs>
      <w:spacing w:before="160" w:after="100" w:line="276" w:lineRule="auto"/>
      <w:ind w:right="432"/>
      <w:textAlignment w:val="baseline"/>
    </w:pPr>
    <w:rPr>
      <w:rFonts w:ascii="Calibri" w:eastAsia="Calibri" w:hAnsi="Calibri" w:cs="Calibri"/>
      <w:kern w:val="0"/>
      <w:sz w:val="24"/>
      <w:lang w:val="en-AU" w:eastAsia="en-US"/>
      <w14:ligatures w14:val="none"/>
    </w:rPr>
  </w:style>
  <w:style w:type="paragraph" w:styleId="2">
    <w:name w:val="toc 2"/>
    <w:next w:val="a"/>
    <w:uiPriority w:val="39"/>
    <w:rsid w:val="00DF37BE"/>
    <w:pPr>
      <w:tabs>
        <w:tab w:val="right" w:leader="dot" w:pos="9000"/>
      </w:tabs>
      <w:spacing w:after="100" w:line="276" w:lineRule="auto"/>
      <w:ind w:left="446" w:right="432"/>
      <w:contextualSpacing/>
    </w:pPr>
    <w:rPr>
      <w:noProof/>
      <w:spacing w:val="2"/>
      <w:kern w:val="0"/>
      <w:sz w:val="20"/>
      <w:szCs w:val="20"/>
      <w:lang w:val="en-AU" w:eastAsia="en-AU"/>
      <w14:ligatures w14:val="none"/>
    </w:rPr>
  </w:style>
  <w:style w:type="character" w:styleId="a7">
    <w:name w:val="Hyperlink"/>
    <w:basedOn w:val="a0"/>
    <w:uiPriority w:val="99"/>
    <w:rsid w:val="00DF37BE"/>
    <w:rPr>
      <w:color w:val="467886" w:themeColor="hyperlink"/>
      <w:u w:val="none"/>
    </w:rPr>
  </w:style>
  <w:style w:type="paragraph" w:styleId="a8">
    <w:name w:val="TOC Heading"/>
    <w:basedOn w:val="1"/>
    <w:next w:val="a"/>
    <w:uiPriority w:val="39"/>
    <w:qFormat/>
    <w:rsid w:val="00DF37BE"/>
    <w:pPr>
      <w:spacing w:before="240" w:after="360"/>
      <w:outlineLvl w:val="9"/>
    </w:pPr>
    <w:rPr>
      <w:spacing w:val="2"/>
    </w:rPr>
  </w:style>
  <w:style w:type="table" w:styleId="a9">
    <w:name w:val="Table Grid"/>
    <w:basedOn w:val="a1"/>
    <w:uiPriority w:val="39"/>
    <w:rsid w:val="00E01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013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1251</Words>
  <Characters>7134</Characters>
  <Application>Microsoft Office Word</Application>
  <DocSecurity>0</DocSecurity>
  <Lines>59</Lines>
  <Paragraphs>16</Paragraphs>
  <ScaleCrop>false</ScaleCrop>
  <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SAKAMAKI Hiroyuki</dc:creator>
  <cp:keywords/>
  <dc:description/>
  <cp:lastModifiedBy>SAKAMAKI Hiroyuki</cp:lastModifiedBy>
  <cp:revision>4</cp:revision>
  <dcterms:created xsi:type="dcterms:W3CDTF">2024-07-18T07:40:00Z</dcterms:created>
  <dcterms:modified xsi:type="dcterms:W3CDTF">2024-07-18T07:52:00Z</dcterms:modified>
</cp:coreProperties>
</file>