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49F8" w14:textId="3069E874" w:rsidR="005D28FD" w:rsidRDefault="00037440">
      <w:r w:rsidRPr="00037440">
        <w:rPr>
          <w:rFonts w:hint="eastAsia"/>
        </w:rPr>
        <w:t>有効期限延長リスト</w:t>
      </w:r>
      <w:r w:rsidR="00002F8F" w:rsidRPr="00192104">
        <w:t> </w:t>
      </w:r>
      <w:r w:rsidR="00C41622" w:rsidRPr="00C41622">
        <w:t>Extended Expiration Date List</w:t>
      </w:r>
    </w:p>
    <w:p w14:paraId="085A52D7" w14:textId="77777777" w:rsidR="00C41622" w:rsidRDefault="00C41622">
      <w:bookmarkStart w:id="0" w:name="_Hlk187681181"/>
      <w:bookmarkStart w:id="1" w:name="_Hlk187681434"/>
      <w:r w:rsidRPr="00C41622">
        <w:t>Draft for consultation: Extended expiration date list</w:t>
      </w:r>
    </w:p>
    <w:bookmarkEnd w:id="0"/>
    <w:p w14:paraId="1B03F67E" w14:textId="49F7D7B4" w:rsidR="009C5BE2" w:rsidRDefault="00C41622">
      <w:r>
        <w:fldChar w:fldCharType="begin"/>
      </w:r>
      <w:r>
        <w:instrText>HYPERLINK "</w:instrText>
      </w:r>
      <w:r w:rsidRPr="00C41622">
        <w:instrText>https://www.canada.ca/en/health-canada/services/drugs-health-products/drug-products/drug-shortages/extended-expiration-date-list.html</w:instrText>
      </w:r>
      <w:r>
        <w:instrText>"</w:instrText>
      </w:r>
      <w:r>
        <w:fldChar w:fldCharType="separate"/>
      </w:r>
      <w:r w:rsidRPr="00563422">
        <w:rPr>
          <w:rStyle w:val="a3"/>
        </w:rPr>
        <w:t>https://www.canada.ca/en/health-canada/services/drugs-health-products/drug-products/drug-shortages/extended-expiration-date-list.html</w:t>
      </w:r>
      <w:r>
        <w:fldChar w:fldCharType="end"/>
      </w:r>
    </w:p>
    <w:bookmarkEnd w:id="1"/>
    <w:p w14:paraId="0154983D" w14:textId="77777777" w:rsidR="00C41622" w:rsidRDefault="00C41622"/>
    <w:p w14:paraId="09BA8858" w14:textId="77777777" w:rsidR="00C41622" w:rsidRPr="00C41622" w:rsidRDefault="00C41622" w:rsidP="00C41622">
      <w:pPr>
        <w:rPr>
          <w:b/>
          <w:bCs/>
        </w:rPr>
      </w:pPr>
      <w:r w:rsidRPr="00C41622">
        <w:rPr>
          <w:b/>
          <w:bCs/>
        </w:rPr>
        <w:t>リストについて</w:t>
      </w:r>
    </w:p>
    <w:p w14:paraId="540D4D9E" w14:textId="77777777" w:rsidR="00C41622" w:rsidRPr="00C41622" w:rsidRDefault="00C41622" w:rsidP="00C41622">
      <w:r w:rsidRPr="00C41622">
        <w:t>有効期限延長医薬品リスト（</w:t>
      </w:r>
      <w:r w:rsidRPr="00C41622">
        <w:t>Extended Expiration Date List</w:t>
      </w:r>
      <w:r w:rsidRPr="00C41622">
        <w:t>）は、有効期限延長医薬品リストとも呼ばれ、カナダにおける医薬品不足の影響を防止または軽減するために、有効期限が延長されるまで販売することができる、カナダで認可された医薬品のロットまたはバッチを指定するものである。</w:t>
      </w:r>
      <w:r w:rsidRPr="00C41622">
        <w:t> </w:t>
      </w:r>
      <w:hyperlink r:id="rId5" w:history="1">
        <w:r w:rsidRPr="00C41622">
          <w:rPr>
            <w:rStyle w:val="a3"/>
          </w:rPr>
          <w:t>食品医薬品規則</w:t>
        </w:r>
      </w:hyperlink>
      <w:r w:rsidRPr="00C41622">
        <w:t>（</w:t>
      </w:r>
      <w:r w:rsidRPr="00C41622">
        <w:t>FDR</w:t>
      </w:r>
      <w:r w:rsidRPr="00C41622">
        <w:t>）の改正案のセクション</w:t>
      </w:r>
      <w:r w:rsidRPr="00C41622">
        <w:t>C.10.014</w:t>
      </w:r>
      <w:r w:rsidRPr="00C41622">
        <w:t>から</w:t>
      </w:r>
      <w:r w:rsidRPr="00C41622">
        <w:t>C.10.021</w:t>
      </w:r>
      <w:r w:rsidRPr="00C41622">
        <w:t>は、このリストを確立し、リストされた医薬品の規制要件を定めている。</w:t>
      </w:r>
    </w:p>
    <w:p w14:paraId="1D678256" w14:textId="77777777" w:rsidR="00C41622" w:rsidRPr="00C41622" w:rsidRDefault="00C41622" w:rsidP="00C41622">
      <w:r w:rsidRPr="00C41622">
        <w:t>有効期限の延長に関する情報については、以下を参照のこと：</w:t>
      </w:r>
    </w:p>
    <w:p w14:paraId="26FFF236" w14:textId="2B1AA55C" w:rsidR="00C41622" w:rsidRDefault="00C41622" w:rsidP="00C41622">
      <w:pPr>
        <w:numPr>
          <w:ilvl w:val="0"/>
          <w:numId w:val="13"/>
        </w:numPr>
      </w:pPr>
      <w:hyperlink r:id="rId6" w:history="1">
        <w:r w:rsidRPr="00C41622">
          <w:rPr>
            <w:rStyle w:val="a3"/>
          </w:rPr>
          <w:t>諮問用草案：</w:t>
        </w:r>
        <w:r w:rsidRPr="00C41622">
          <w:rPr>
            <w:rStyle w:val="a3"/>
          </w:rPr>
          <w:t xml:space="preserve"> </w:t>
        </w:r>
        <w:r w:rsidRPr="00C41622">
          <w:rPr>
            <w:rStyle w:val="a3"/>
          </w:rPr>
          <w:t>カナダにおける医薬品不足に対応した市販薬の有効期限延長の手引き</w:t>
        </w:r>
      </w:hyperlink>
    </w:p>
    <w:p w14:paraId="650FD2E6" w14:textId="77777777" w:rsidR="00C41622" w:rsidRPr="00C41622" w:rsidRDefault="00C41622" w:rsidP="00C41622">
      <w:pPr>
        <w:ind w:left="720"/>
        <w:rPr>
          <w:rFonts w:hint="eastAsia"/>
        </w:rPr>
      </w:pPr>
    </w:p>
    <w:p w14:paraId="43FBDAB5" w14:textId="77777777" w:rsidR="00C41622" w:rsidRPr="00C41622" w:rsidRDefault="00C41622" w:rsidP="00C41622">
      <w:pPr>
        <w:rPr>
          <w:b/>
          <w:bCs/>
        </w:rPr>
      </w:pPr>
      <w:r w:rsidRPr="00C41622">
        <w:rPr>
          <w:b/>
          <w:bCs/>
        </w:rPr>
        <w:t>リストの維持方法</w:t>
      </w:r>
    </w:p>
    <w:p w14:paraId="30022A78" w14:textId="77777777" w:rsidR="00C41622" w:rsidRPr="00C41622" w:rsidRDefault="00C41622" w:rsidP="00C41622">
      <w:r w:rsidRPr="00C41622">
        <w:t>このリストは、提案された規制の中で参照により組み込まれる。</w:t>
      </w:r>
      <w:r w:rsidRPr="00C41622">
        <w:t xml:space="preserve"> </w:t>
      </w:r>
      <w:r w:rsidRPr="00C41622">
        <w:t>カナダ保健省は、</w:t>
      </w:r>
      <w:hyperlink r:id="rId7" w:history="1">
        <w:r w:rsidRPr="00C41622">
          <w:rPr>
            <w:rStyle w:val="a3"/>
          </w:rPr>
          <w:t>Incorporation by Reference Policy</w:t>
        </w:r>
      </w:hyperlink>
      <w:r w:rsidRPr="00C41622">
        <w:t>に従って、必要に応じてこのリストを維持・更新する。</w:t>
      </w:r>
    </w:p>
    <w:p w14:paraId="5E2419D4" w14:textId="28EF19A7" w:rsidR="00C41622" w:rsidRPr="00C41622" w:rsidRDefault="00C41622" w:rsidP="00C41622">
      <w:r w:rsidRPr="00C41622">
        <w:t>医薬品のロットまたはバッチは、以下の場合にリストに追加される可能性があ</w:t>
      </w:r>
      <w:r>
        <w:rPr>
          <w:rFonts w:hint="eastAsia"/>
        </w:rPr>
        <w:t>る</w:t>
      </w:r>
      <w:r w:rsidRPr="00C41622">
        <w:t>：</w:t>
      </w:r>
    </w:p>
    <w:p w14:paraId="29FFCADC" w14:textId="5DA86838" w:rsidR="00C41622" w:rsidRPr="00C41622" w:rsidRDefault="00C41622" w:rsidP="00C41622">
      <w:pPr>
        <w:numPr>
          <w:ilvl w:val="0"/>
          <w:numId w:val="14"/>
        </w:numPr>
      </w:pPr>
      <w:r w:rsidRPr="00C41622">
        <w:t>医薬品の不足または不足のリスクがある場合</w:t>
      </w:r>
      <w:r>
        <w:rPr>
          <w:rFonts w:hint="eastAsia"/>
        </w:rPr>
        <w:t>。</w:t>
      </w:r>
    </w:p>
    <w:p w14:paraId="55162287" w14:textId="77777777" w:rsidR="00C41622" w:rsidRPr="00C41622" w:rsidRDefault="00C41622" w:rsidP="00C41622">
      <w:pPr>
        <w:numPr>
          <w:ilvl w:val="0"/>
          <w:numId w:val="14"/>
        </w:numPr>
      </w:pPr>
      <w:r w:rsidRPr="00C41622">
        <w:t>当該医薬品の不足が発生した場合、人の健康を損なうおそれがあること。</w:t>
      </w:r>
    </w:p>
    <w:p w14:paraId="4D376F42" w14:textId="77777777" w:rsidR="00C41622" w:rsidRPr="00C41622" w:rsidRDefault="00C41622" w:rsidP="00C41622">
      <w:pPr>
        <w:numPr>
          <w:ilvl w:val="0"/>
          <w:numId w:val="14"/>
        </w:numPr>
      </w:pPr>
      <w:r w:rsidRPr="00C41622">
        <w:t>そのロットまたはバッチが、少なくとも表の第</w:t>
      </w:r>
      <w:r w:rsidRPr="00C41622">
        <w:t>2</w:t>
      </w:r>
      <w:r w:rsidRPr="00C41622">
        <w:t>欄の延長された有効期限まで、その医薬品の仕様に適合すること。</w:t>
      </w:r>
    </w:p>
    <w:p w14:paraId="62B40520" w14:textId="77777777" w:rsidR="00C41622" w:rsidRPr="00C41622" w:rsidRDefault="00C41622" w:rsidP="00C41622">
      <w:r w:rsidRPr="00C41622">
        <w:t>医薬品のバッチがリストに追加される場合、</w:t>
      </w:r>
      <w:r w:rsidRPr="00C41622">
        <w:t>MAH</w:t>
      </w:r>
      <w:r w:rsidRPr="00C41622">
        <w:t>は、その製品が安全に使用でき、少なくともその延長された有効期限までその仕様に適合することを示す十分な証拠を提供している。</w:t>
      </w:r>
    </w:p>
    <w:p w14:paraId="73C80540" w14:textId="77777777" w:rsidR="00F422A4" w:rsidRPr="00C41622" w:rsidRDefault="00F422A4" w:rsidP="00C41622">
      <w:pPr>
        <w:rPr>
          <w:rFonts w:hint="eastAsia"/>
        </w:rPr>
      </w:pPr>
    </w:p>
    <w:sectPr w:rsidR="00F422A4" w:rsidRPr="00C41622" w:rsidSect="00F422A4">
      <w:pgSz w:w="11906" w:h="16838" w:code="9"/>
      <w:pgMar w:top="1418" w:right="1418" w:bottom="1418" w:left="1418" w:header="851" w:footer="992" w:gutter="0"/>
      <w:cols w:space="425"/>
      <w:docGrid w:type="linesAndChars" w:linePitch="31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307"/>
    <w:multiLevelType w:val="multilevel"/>
    <w:tmpl w:val="3C3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E2E0E"/>
    <w:multiLevelType w:val="hybridMultilevel"/>
    <w:tmpl w:val="1BC815B6"/>
    <w:lvl w:ilvl="0" w:tplc="0409000B">
      <w:start w:val="1"/>
      <w:numFmt w:val="bullet"/>
      <w:lvlText w:val=""/>
      <w:lvlJc w:val="left"/>
      <w:pPr>
        <w:ind w:left="2600" w:hanging="440"/>
      </w:pPr>
      <w:rPr>
        <w:rFonts w:ascii="Wingdings" w:hAnsi="Wingdings" w:hint="default"/>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2" w15:restartNumberingAfterBreak="0">
    <w:nsid w:val="1C423CB0"/>
    <w:multiLevelType w:val="multilevel"/>
    <w:tmpl w:val="D61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26968"/>
    <w:multiLevelType w:val="multilevel"/>
    <w:tmpl w:val="0B56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B5740"/>
    <w:multiLevelType w:val="multilevel"/>
    <w:tmpl w:val="F970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07A0D"/>
    <w:multiLevelType w:val="multilevel"/>
    <w:tmpl w:val="1A1C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B6297"/>
    <w:multiLevelType w:val="hybridMultilevel"/>
    <w:tmpl w:val="EA36BB68"/>
    <w:lvl w:ilvl="0" w:tplc="9B3CE1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E924361"/>
    <w:multiLevelType w:val="multilevel"/>
    <w:tmpl w:val="48E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671794"/>
    <w:multiLevelType w:val="multilevel"/>
    <w:tmpl w:val="9A0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A7BB6"/>
    <w:multiLevelType w:val="hybridMultilevel"/>
    <w:tmpl w:val="DF0EC00E"/>
    <w:lvl w:ilvl="0" w:tplc="7086613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6C747AE"/>
    <w:multiLevelType w:val="multilevel"/>
    <w:tmpl w:val="2A06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1F5592"/>
    <w:multiLevelType w:val="multilevel"/>
    <w:tmpl w:val="080AA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A736B"/>
    <w:multiLevelType w:val="multilevel"/>
    <w:tmpl w:val="645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E1F58"/>
    <w:multiLevelType w:val="multilevel"/>
    <w:tmpl w:val="3FFAA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057969">
    <w:abstractNumId w:val="13"/>
  </w:num>
  <w:num w:numId="2" w16cid:durableId="1175924032">
    <w:abstractNumId w:val="2"/>
  </w:num>
  <w:num w:numId="3" w16cid:durableId="789007337">
    <w:abstractNumId w:val="7"/>
  </w:num>
  <w:num w:numId="4" w16cid:durableId="72513560">
    <w:abstractNumId w:val="11"/>
  </w:num>
  <w:num w:numId="5" w16cid:durableId="679309798">
    <w:abstractNumId w:val="12"/>
  </w:num>
  <w:num w:numId="6" w16cid:durableId="1059524044">
    <w:abstractNumId w:val="1"/>
  </w:num>
  <w:num w:numId="7" w16cid:durableId="57559155">
    <w:abstractNumId w:val="6"/>
  </w:num>
  <w:num w:numId="8" w16cid:durableId="2120644123">
    <w:abstractNumId w:val="9"/>
  </w:num>
  <w:num w:numId="9" w16cid:durableId="1210797528">
    <w:abstractNumId w:val="10"/>
  </w:num>
  <w:num w:numId="10" w16cid:durableId="1985694496">
    <w:abstractNumId w:val="5"/>
  </w:num>
  <w:num w:numId="11" w16cid:durableId="505021523">
    <w:abstractNumId w:val="8"/>
  </w:num>
  <w:num w:numId="12" w16cid:durableId="1075665233">
    <w:abstractNumId w:val="3"/>
  </w:num>
  <w:num w:numId="13" w16cid:durableId="688289850">
    <w:abstractNumId w:val="0"/>
  </w:num>
  <w:num w:numId="14" w16cid:durableId="1017075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A4"/>
    <w:rsid w:val="00002F8F"/>
    <w:rsid w:val="00037440"/>
    <w:rsid w:val="00304F66"/>
    <w:rsid w:val="005D28FD"/>
    <w:rsid w:val="006B1081"/>
    <w:rsid w:val="00992C68"/>
    <w:rsid w:val="009C5BE2"/>
    <w:rsid w:val="009E578E"/>
    <w:rsid w:val="00B9507F"/>
    <w:rsid w:val="00C41622"/>
    <w:rsid w:val="00F422A4"/>
    <w:rsid w:val="00FD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4B7D9E"/>
  <w15:chartTrackingRefBased/>
  <w15:docId w15:val="{0E54C275-9827-4D85-B511-B53B8ADA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2A4"/>
    <w:pPr>
      <w:widowControl w:val="0"/>
    </w:pPr>
    <w:rPr>
      <w:rFonts w:ascii="Times New Roman" w:eastAsia="ＭＳ Ｐ明朝" w:hAnsi="Times New Roman"/>
      <w:sz w:val="21"/>
    </w:rPr>
  </w:style>
  <w:style w:type="paragraph" w:styleId="1">
    <w:name w:val="heading 1"/>
    <w:basedOn w:val="a"/>
    <w:next w:val="a"/>
    <w:link w:val="10"/>
    <w:uiPriority w:val="9"/>
    <w:qFormat/>
    <w:rsid w:val="00F422A4"/>
    <w:pPr>
      <w:keepNext/>
      <w:outlineLvl w:val="0"/>
    </w:pPr>
    <w:rPr>
      <w:rFonts w:asciiTheme="majorHAnsi" w:eastAsiaTheme="majorEastAsia" w:hAnsiTheme="majorHAnsi" w:cstheme="majorBid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22A4"/>
    <w:rPr>
      <w:rFonts w:asciiTheme="majorHAnsi" w:eastAsiaTheme="majorEastAsia" w:hAnsiTheme="majorHAnsi" w:cstheme="majorBidi"/>
      <w:sz w:val="24"/>
    </w:rPr>
  </w:style>
  <w:style w:type="character" w:styleId="a3">
    <w:name w:val="Hyperlink"/>
    <w:basedOn w:val="a0"/>
    <w:uiPriority w:val="99"/>
    <w:unhideWhenUsed/>
    <w:rsid w:val="00F422A4"/>
    <w:rPr>
      <w:color w:val="467886" w:themeColor="hyperlink"/>
      <w:u w:val="single"/>
    </w:rPr>
  </w:style>
  <w:style w:type="character" w:styleId="a4">
    <w:name w:val="Unresolved Mention"/>
    <w:basedOn w:val="a0"/>
    <w:uiPriority w:val="99"/>
    <w:semiHidden/>
    <w:unhideWhenUsed/>
    <w:rsid w:val="00F422A4"/>
    <w:rPr>
      <w:color w:val="605E5C"/>
      <w:shd w:val="clear" w:color="auto" w:fill="E1DFDD"/>
    </w:rPr>
  </w:style>
  <w:style w:type="paragraph" w:styleId="a5">
    <w:name w:val="List Paragraph"/>
    <w:basedOn w:val="a"/>
    <w:uiPriority w:val="34"/>
    <w:qFormat/>
    <w:rsid w:val="00B95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972">
      <w:bodyDiv w:val="1"/>
      <w:marLeft w:val="0"/>
      <w:marRight w:val="0"/>
      <w:marTop w:val="0"/>
      <w:marBottom w:val="0"/>
      <w:divBdr>
        <w:top w:val="none" w:sz="0" w:space="0" w:color="auto"/>
        <w:left w:val="none" w:sz="0" w:space="0" w:color="auto"/>
        <w:bottom w:val="none" w:sz="0" w:space="0" w:color="auto"/>
        <w:right w:val="none" w:sz="0" w:space="0" w:color="auto"/>
      </w:divBdr>
    </w:div>
    <w:div w:id="277569497">
      <w:bodyDiv w:val="1"/>
      <w:marLeft w:val="0"/>
      <w:marRight w:val="0"/>
      <w:marTop w:val="0"/>
      <w:marBottom w:val="0"/>
      <w:divBdr>
        <w:top w:val="none" w:sz="0" w:space="0" w:color="auto"/>
        <w:left w:val="none" w:sz="0" w:space="0" w:color="auto"/>
        <w:bottom w:val="none" w:sz="0" w:space="0" w:color="auto"/>
        <w:right w:val="none" w:sz="0" w:space="0" w:color="auto"/>
      </w:divBdr>
    </w:div>
    <w:div w:id="300304072">
      <w:bodyDiv w:val="1"/>
      <w:marLeft w:val="0"/>
      <w:marRight w:val="0"/>
      <w:marTop w:val="0"/>
      <w:marBottom w:val="0"/>
      <w:divBdr>
        <w:top w:val="none" w:sz="0" w:space="0" w:color="auto"/>
        <w:left w:val="none" w:sz="0" w:space="0" w:color="auto"/>
        <w:bottom w:val="none" w:sz="0" w:space="0" w:color="auto"/>
        <w:right w:val="none" w:sz="0" w:space="0" w:color="auto"/>
      </w:divBdr>
    </w:div>
    <w:div w:id="635070528">
      <w:bodyDiv w:val="1"/>
      <w:marLeft w:val="0"/>
      <w:marRight w:val="0"/>
      <w:marTop w:val="0"/>
      <w:marBottom w:val="0"/>
      <w:divBdr>
        <w:top w:val="none" w:sz="0" w:space="0" w:color="auto"/>
        <w:left w:val="none" w:sz="0" w:space="0" w:color="auto"/>
        <w:bottom w:val="none" w:sz="0" w:space="0" w:color="auto"/>
        <w:right w:val="none" w:sz="0" w:space="0" w:color="auto"/>
      </w:divBdr>
    </w:div>
    <w:div w:id="1036659747">
      <w:bodyDiv w:val="1"/>
      <w:marLeft w:val="0"/>
      <w:marRight w:val="0"/>
      <w:marTop w:val="0"/>
      <w:marBottom w:val="0"/>
      <w:divBdr>
        <w:top w:val="none" w:sz="0" w:space="0" w:color="auto"/>
        <w:left w:val="none" w:sz="0" w:space="0" w:color="auto"/>
        <w:bottom w:val="none" w:sz="0" w:space="0" w:color="auto"/>
        <w:right w:val="none" w:sz="0" w:space="0" w:color="auto"/>
      </w:divBdr>
      <w:divsChild>
        <w:div w:id="1374499217">
          <w:marLeft w:val="0"/>
          <w:marRight w:val="0"/>
          <w:marTop w:val="0"/>
          <w:marBottom w:val="0"/>
          <w:divBdr>
            <w:top w:val="none" w:sz="0" w:space="0" w:color="auto"/>
            <w:left w:val="none" w:sz="0" w:space="0" w:color="auto"/>
            <w:bottom w:val="none" w:sz="0" w:space="0" w:color="auto"/>
            <w:right w:val="none" w:sz="0" w:space="0" w:color="auto"/>
          </w:divBdr>
          <w:divsChild>
            <w:div w:id="1562403135">
              <w:marLeft w:val="0"/>
              <w:marRight w:val="0"/>
              <w:marTop w:val="0"/>
              <w:marBottom w:val="300"/>
              <w:divBdr>
                <w:top w:val="single" w:sz="6" w:space="14" w:color="E3E3E3"/>
                <w:left w:val="single" w:sz="6" w:space="14" w:color="E3E3E3"/>
                <w:bottom w:val="single" w:sz="6" w:space="14" w:color="E3E3E3"/>
                <w:right w:val="single" w:sz="6" w:space="14" w:color="E3E3E3"/>
              </w:divBdr>
            </w:div>
            <w:div w:id="1320420521">
              <w:marLeft w:val="0"/>
              <w:marRight w:val="0"/>
              <w:marTop w:val="0"/>
              <w:marBottom w:val="0"/>
              <w:divBdr>
                <w:top w:val="none" w:sz="0" w:space="0" w:color="auto"/>
                <w:left w:val="none" w:sz="0" w:space="0" w:color="auto"/>
                <w:bottom w:val="none" w:sz="0" w:space="0" w:color="auto"/>
                <w:right w:val="none" w:sz="0" w:space="0" w:color="auto"/>
              </w:divBdr>
            </w:div>
          </w:divsChild>
        </w:div>
        <w:div w:id="1671449266">
          <w:marLeft w:val="0"/>
          <w:marRight w:val="0"/>
          <w:marTop w:val="0"/>
          <w:marBottom w:val="0"/>
          <w:divBdr>
            <w:top w:val="none" w:sz="0" w:space="0" w:color="auto"/>
            <w:left w:val="none" w:sz="0" w:space="0" w:color="auto"/>
            <w:bottom w:val="none" w:sz="0" w:space="0" w:color="auto"/>
            <w:right w:val="none" w:sz="0" w:space="0" w:color="auto"/>
          </w:divBdr>
          <w:divsChild>
            <w:div w:id="768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7204">
      <w:bodyDiv w:val="1"/>
      <w:marLeft w:val="0"/>
      <w:marRight w:val="0"/>
      <w:marTop w:val="0"/>
      <w:marBottom w:val="0"/>
      <w:divBdr>
        <w:top w:val="none" w:sz="0" w:space="0" w:color="auto"/>
        <w:left w:val="none" w:sz="0" w:space="0" w:color="auto"/>
        <w:bottom w:val="none" w:sz="0" w:space="0" w:color="auto"/>
        <w:right w:val="none" w:sz="0" w:space="0" w:color="auto"/>
      </w:divBdr>
    </w:div>
    <w:div w:id="1545437107">
      <w:bodyDiv w:val="1"/>
      <w:marLeft w:val="0"/>
      <w:marRight w:val="0"/>
      <w:marTop w:val="0"/>
      <w:marBottom w:val="0"/>
      <w:divBdr>
        <w:top w:val="none" w:sz="0" w:space="0" w:color="auto"/>
        <w:left w:val="none" w:sz="0" w:space="0" w:color="auto"/>
        <w:bottom w:val="none" w:sz="0" w:space="0" w:color="auto"/>
        <w:right w:val="none" w:sz="0" w:space="0" w:color="auto"/>
      </w:divBdr>
    </w:div>
    <w:div w:id="1593512209">
      <w:bodyDiv w:val="1"/>
      <w:marLeft w:val="0"/>
      <w:marRight w:val="0"/>
      <w:marTop w:val="0"/>
      <w:marBottom w:val="0"/>
      <w:divBdr>
        <w:top w:val="none" w:sz="0" w:space="0" w:color="auto"/>
        <w:left w:val="none" w:sz="0" w:space="0" w:color="auto"/>
        <w:bottom w:val="none" w:sz="0" w:space="0" w:color="auto"/>
        <w:right w:val="none" w:sz="0" w:space="0" w:color="auto"/>
      </w:divBdr>
    </w:div>
    <w:div w:id="1935631999">
      <w:bodyDiv w:val="1"/>
      <w:marLeft w:val="0"/>
      <w:marRight w:val="0"/>
      <w:marTop w:val="0"/>
      <w:marBottom w:val="0"/>
      <w:divBdr>
        <w:top w:val="none" w:sz="0" w:space="0" w:color="auto"/>
        <w:left w:val="none" w:sz="0" w:space="0" w:color="auto"/>
        <w:bottom w:val="none" w:sz="0" w:space="0" w:color="auto"/>
        <w:right w:val="none" w:sz="0" w:space="0" w:color="auto"/>
      </w:divBdr>
      <w:divsChild>
        <w:div w:id="183915062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53854724">
      <w:bodyDiv w:val="1"/>
      <w:marLeft w:val="0"/>
      <w:marRight w:val="0"/>
      <w:marTop w:val="0"/>
      <w:marBottom w:val="0"/>
      <w:divBdr>
        <w:top w:val="none" w:sz="0" w:space="0" w:color="auto"/>
        <w:left w:val="none" w:sz="0" w:space="0" w:color="auto"/>
        <w:bottom w:val="none" w:sz="0" w:space="0" w:color="auto"/>
        <w:right w:val="none" w:sz="0" w:space="0" w:color="auto"/>
      </w:divBdr>
      <w:divsChild>
        <w:div w:id="134528230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024700466">
      <w:bodyDiv w:val="1"/>
      <w:marLeft w:val="0"/>
      <w:marRight w:val="0"/>
      <w:marTop w:val="0"/>
      <w:marBottom w:val="0"/>
      <w:divBdr>
        <w:top w:val="none" w:sz="0" w:space="0" w:color="auto"/>
        <w:left w:val="none" w:sz="0" w:space="0" w:color="auto"/>
        <w:bottom w:val="none" w:sz="0" w:space="0" w:color="auto"/>
        <w:right w:val="none" w:sz="0" w:space="0" w:color="auto"/>
      </w:divBdr>
      <w:divsChild>
        <w:div w:id="237524466">
          <w:marLeft w:val="0"/>
          <w:marRight w:val="0"/>
          <w:marTop w:val="0"/>
          <w:marBottom w:val="0"/>
          <w:divBdr>
            <w:top w:val="none" w:sz="0" w:space="0" w:color="auto"/>
            <w:left w:val="none" w:sz="0" w:space="0" w:color="auto"/>
            <w:bottom w:val="none" w:sz="0" w:space="0" w:color="auto"/>
            <w:right w:val="none" w:sz="0" w:space="0" w:color="auto"/>
          </w:divBdr>
          <w:divsChild>
            <w:div w:id="700130381">
              <w:marLeft w:val="0"/>
              <w:marRight w:val="0"/>
              <w:marTop w:val="0"/>
              <w:marBottom w:val="300"/>
              <w:divBdr>
                <w:top w:val="single" w:sz="6" w:space="14" w:color="E3E3E3"/>
                <w:left w:val="single" w:sz="6" w:space="14" w:color="E3E3E3"/>
                <w:bottom w:val="single" w:sz="6" w:space="14" w:color="E3E3E3"/>
                <w:right w:val="single" w:sz="6" w:space="14" w:color="E3E3E3"/>
              </w:divBdr>
            </w:div>
            <w:div w:id="1500341902">
              <w:marLeft w:val="0"/>
              <w:marRight w:val="0"/>
              <w:marTop w:val="0"/>
              <w:marBottom w:val="0"/>
              <w:divBdr>
                <w:top w:val="none" w:sz="0" w:space="0" w:color="auto"/>
                <w:left w:val="none" w:sz="0" w:space="0" w:color="auto"/>
                <w:bottom w:val="none" w:sz="0" w:space="0" w:color="auto"/>
                <w:right w:val="none" w:sz="0" w:space="0" w:color="auto"/>
              </w:divBdr>
            </w:div>
          </w:divsChild>
        </w:div>
        <w:div w:id="1838837681">
          <w:marLeft w:val="0"/>
          <w:marRight w:val="0"/>
          <w:marTop w:val="0"/>
          <w:marBottom w:val="0"/>
          <w:divBdr>
            <w:top w:val="none" w:sz="0" w:space="0" w:color="auto"/>
            <w:left w:val="none" w:sz="0" w:space="0" w:color="auto"/>
            <w:bottom w:val="none" w:sz="0" w:space="0" w:color="auto"/>
            <w:right w:val="none" w:sz="0" w:space="0" w:color="auto"/>
          </w:divBdr>
          <w:divsChild>
            <w:div w:id="15012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corporate/about-health-canada/legislation-guidelines/acts-regulations/incorporation-reference-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health-canada/services/drugs-health-products/drug-products/drug-shortages/regulations-guidance/guide-extending-expiration-dates-marketed-drugs-response-shortages.html" TargetMode="External"/><Relationship Id="rId5" Type="http://schemas.openxmlformats.org/officeDocument/2006/relationships/hyperlink" Target="https://laws-lois.justice.gc.ca/eng/regulations/C.R.C.,_c._870/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3</cp:revision>
  <dcterms:created xsi:type="dcterms:W3CDTF">2025-01-13T08:22:00Z</dcterms:created>
  <dcterms:modified xsi:type="dcterms:W3CDTF">2025-01-13T08:24:00Z</dcterms:modified>
</cp:coreProperties>
</file>