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F49F8" w14:textId="1CC0A65F" w:rsidR="005D28FD" w:rsidRDefault="00356F45">
      <w:r w:rsidRPr="00356F45">
        <w:rPr>
          <w:rFonts w:hint="eastAsia"/>
        </w:rPr>
        <w:t>例外的に輸入・販売される医薬品のリスト</w:t>
      </w:r>
      <w:r w:rsidRPr="00356F45">
        <w:t>List of drugs for exceptional importation and sale</w:t>
      </w:r>
    </w:p>
    <w:p w14:paraId="1B03F67E" w14:textId="04DE2F94" w:rsidR="009C5BE2" w:rsidRDefault="00356F45">
      <w:bookmarkStart w:id="0" w:name="_Hlk187681434"/>
      <w:bookmarkStart w:id="1" w:name="_Hlk187681591"/>
      <w:r w:rsidRPr="00356F45">
        <w:t>Draft for consultation: List of drugs for exceptional importation and sale</w:t>
      </w:r>
      <w:r>
        <w:br/>
      </w:r>
      <w:hyperlink r:id="rId5" w:history="1">
        <w:r w:rsidRPr="00563422">
          <w:rPr>
            <w:rStyle w:val="a3"/>
          </w:rPr>
          <w:t>https://www.canada.ca/en/health-canada/services/drugs-health-products/drug-products/drug-shortages/list-exceptional-importation-sale.html</w:t>
        </w:r>
      </w:hyperlink>
    </w:p>
    <w:bookmarkEnd w:id="0"/>
    <w:bookmarkEnd w:id="1"/>
    <w:p w14:paraId="0154983D" w14:textId="77777777" w:rsidR="00C41622" w:rsidRDefault="00C41622"/>
    <w:p w14:paraId="0BE921ED" w14:textId="77777777" w:rsidR="00D45618" w:rsidRPr="00D45618" w:rsidRDefault="00D45618" w:rsidP="00D45618">
      <w:pPr>
        <w:rPr>
          <w:b/>
          <w:bCs/>
        </w:rPr>
      </w:pPr>
      <w:r w:rsidRPr="00D45618">
        <w:rPr>
          <w:b/>
          <w:bCs/>
        </w:rPr>
        <w:t>リストについて</w:t>
      </w:r>
    </w:p>
    <w:p w14:paraId="09C72FDB" w14:textId="63F61860" w:rsidR="00D45618" w:rsidRPr="00D45618" w:rsidRDefault="00D45618" w:rsidP="00D45618">
      <w:r w:rsidRPr="00D45618">
        <w:t>例外的輸入・販売医薬品リストに含まれる医薬品は、</w:t>
      </w:r>
      <w:r w:rsidRPr="00D45618">
        <w:fldChar w:fldCharType="begin"/>
      </w:r>
      <w:r w:rsidRPr="00D45618">
        <w:instrText>HYPERLINK "https://laws-lois.justice.gc.ca/eng/regulations/c.r.c.,_c._870/index.html"</w:instrText>
      </w:r>
      <w:r w:rsidRPr="00D45618">
        <w:fldChar w:fldCharType="separate"/>
      </w:r>
      <w:r w:rsidRPr="00D45618">
        <w:rPr>
          <w:rStyle w:val="a3"/>
        </w:rPr>
        <w:t>食品医薬品規則（</w:t>
      </w:r>
      <w:r w:rsidRPr="00D45618">
        <w:rPr>
          <w:rStyle w:val="a3"/>
        </w:rPr>
        <w:t>FDR</w:t>
      </w:r>
      <w:r w:rsidRPr="00D45618">
        <w:rPr>
          <w:rStyle w:val="a3"/>
        </w:rPr>
        <w:t>）</w:t>
      </w:r>
      <w:r w:rsidRPr="00D45618">
        <w:fldChar w:fldCharType="end"/>
      </w:r>
      <w:r w:rsidRPr="00D45618">
        <w:t>の改正案の</w:t>
      </w:r>
      <w:r w:rsidRPr="00D45618">
        <w:t>C.10.004</w:t>
      </w:r>
      <w:r w:rsidRPr="00D45618">
        <w:t>から</w:t>
      </w:r>
      <w:r w:rsidRPr="00D45618">
        <w:t>C.10.013</w:t>
      </w:r>
      <w:r w:rsidRPr="00D45618">
        <w:t>項に従って、例外的輸入・販売の対象とな</w:t>
      </w:r>
      <w:r>
        <w:rPr>
          <w:rFonts w:hint="eastAsia"/>
        </w:rPr>
        <w:t>る</w:t>
      </w:r>
      <w:r w:rsidRPr="00D45618">
        <w:t>；</w:t>
      </w:r>
    </w:p>
    <w:p w14:paraId="3983A539" w14:textId="1DC17416" w:rsidR="00D45618" w:rsidRPr="00D45618" w:rsidRDefault="00D45618" w:rsidP="00D45618">
      <w:r w:rsidRPr="00D45618">
        <w:t>医薬品の例外的な輸入と販売については、こちらを</w:t>
      </w:r>
      <w:r>
        <w:rPr>
          <w:rFonts w:hint="eastAsia"/>
        </w:rPr>
        <w:t>参照のこと</w:t>
      </w:r>
      <w:r w:rsidRPr="00D45618">
        <w:t>：</w:t>
      </w:r>
    </w:p>
    <w:p w14:paraId="0A664C2F" w14:textId="77777777" w:rsidR="00D45618" w:rsidRDefault="00D45618" w:rsidP="00D45618">
      <w:pPr>
        <w:numPr>
          <w:ilvl w:val="0"/>
          <w:numId w:val="15"/>
        </w:numPr>
      </w:pPr>
      <w:hyperlink r:id="rId6" w:history="1">
        <w:r w:rsidRPr="00D45618">
          <w:rPr>
            <w:rStyle w:val="a3"/>
          </w:rPr>
          <w:t>相談用草案：</w:t>
        </w:r>
      </w:hyperlink>
    </w:p>
    <w:p w14:paraId="0B8721D0" w14:textId="77777777" w:rsidR="00D45618" w:rsidRPr="00D45618" w:rsidRDefault="00D45618" w:rsidP="00D45618">
      <w:pPr>
        <w:ind w:left="720"/>
        <w:rPr>
          <w:rFonts w:hint="eastAsia"/>
        </w:rPr>
      </w:pPr>
    </w:p>
    <w:p w14:paraId="11855DB3" w14:textId="77777777" w:rsidR="00D45618" w:rsidRPr="00D45618" w:rsidRDefault="00D45618" w:rsidP="00D45618">
      <w:pPr>
        <w:rPr>
          <w:b/>
          <w:bCs/>
        </w:rPr>
      </w:pPr>
      <w:r w:rsidRPr="00D45618">
        <w:rPr>
          <w:b/>
          <w:bCs/>
        </w:rPr>
        <w:t>リストに含まれる医薬品</w:t>
      </w:r>
    </w:p>
    <w:p w14:paraId="44685F76" w14:textId="77777777" w:rsidR="00D45618" w:rsidRPr="00D45618" w:rsidRDefault="00D45618" w:rsidP="00D45618">
      <w:r w:rsidRPr="00D45618">
        <w:t>リストに含まれる医薬品は「指定医薬品」と呼ばれる。</w:t>
      </w:r>
      <w:r w:rsidRPr="00D45618">
        <w:t xml:space="preserve"> </w:t>
      </w:r>
      <w:r w:rsidRPr="00D45618">
        <w:t>これらの医薬品は、カナダの規制要件を完全に満たしているわけではないが、外国の認可の下、同等の品質基準で製造されることになる。</w:t>
      </w:r>
      <w:r w:rsidRPr="00D45618">
        <w:t xml:space="preserve"> </w:t>
      </w:r>
      <w:r w:rsidRPr="00D45618">
        <w:t>医薬品はカナダ国内または海外で製造される。</w:t>
      </w:r>
      <w:r w:rsidRPr="00D45618">
        <w:t xml:space="preserve"> </w:t>
      </w:r>
      <w:r w:rsidRPr="00D45618">
        <w:t>指定された医薬品は、</w:t>
      </w:r>
      <w:r w:rsidRPr="00D45618">
        <w:t xml:space="preserve">"Date which after which drug may </w:t>
      </w:r>
      <w:proofErr w:type="spellStart"/>
      <w:r w:rsidRPr="00D45618">
        <w:t>not longer</w:t>
      </w:r>
      <w:proofErr w:type="spellEnd"/>
      <w:r w:rsidRPr="00D45618">
        <w:t xml:space="preserve"> be import "</w:t>
      </w:r>
      <w:r w:rsidRPr="00D45618">
        <w:t>の欄に記載された日付以前にカナダに例外的に輸入することができる（該当する場合）。</w:t>
      </w:r>
      <w:r w:rsidRPr="00D45618">
        <w:t xml:space="preserve"> </w:t>
      </w:r>
      <w:r w:rsidRPr="00D45618">
        <w:t>この日付以降は例外的に医薬品を輸入することはできないが、すでにカナダで輸入または製造された医薬品は、有効期限まで販売することができる。</w:t>
      </w:r>
    </w:p>
    <w:p w14:paraId="73231DFC" w14:textId="77777777" w:rsidR="00D45618" w:rsidRPr="00D45618" w:rsidRDefault="00D45618" w:rsidP="00D45618">
      <w:r w:rsidRPr="00D45618">
        <w:t>リストには</w:t>
      </w:r>
      <w:r w:rsidRPr="00D45618">
        <w:t>2</w:t>
      </w:r>
      <w:r w:rsidRPr="00D45618">
        <w:t>つのパートがある：</w:t>
      </w:r>
    </w:p>
    <w:p w14:paraId="254250DF" w14:textId="77777777" w:rsidR="00D45618" w:rsidRPr="00D45618" w:rsidRDefault="00D45618" w:rsidP="00D45618">
      <w:pPr>
        <w:numPr>
          <w:ilvl w:val="0"/>
          <w:numId w:val="16"/>
        </w:numPr>
      </w:pPr>
      <w:r w:rsidRPr="00D45618">
        <w:t>第</w:t>
      </w:r>
      <w:r w:rsidRPr="00D45618">
        <w:t>1</w:t>
      </w:r>
      <w:r w:rsidRPr="00D45618">
        <w:t>部</w:t>
      </w:r>
      <w:r w:rsidRPr="00D45618">
        <w:t xml:space="preserve"> </w:t>
      </w:r>
      <w:r w:rsidRPr="00D45618">
        <w:t>例外的に輸入・販売される医薬品</w:t>
      </w:r>
    </w:p>
    <w:p w14:paraId="7C254C75" w14:textId="77777777" w:rsidR="00D45618" w:rsidRPr="00D45618" w:rsidRDefault="00D45618" w:rsidP="00D45618">
      <w:pPr>
        <w:numPr>
          <w:ilvl w:val="1"/>
          <w:numId w:val="16"/>
        </w:numPr>
      </w:pPr>
      <w:r w:rsidRPr="00D45618">
        <w:t>Subpart 1</w:t>
      </w:r>
      <w:r w:rsidRPr="00D45618">
        <w:t>：</w:t>
      </w:r>
      <w:r w:rsidRPr="00D45618">
        <w:t xml:space="preserve"> </w:t>
      </w:r>
      <w:r w:rsidRPr="00D45618">
        <w:t>販売制限のない医薬品</w:t>
      </w:r>
    </w:p>
    <w:p w14:paraId="3DF30F5A" w14:textId="77777777" w:rsidR="00D45618" w:rsidRPr="00D45618" w:rsidRDefault="00D45618" w:rsidP="00D45618">
      <w:pPr>
        <w:numPr>
          <w:ilvl w:val="1"/>
          <w:numId w:val="16"/>
        </w:numPr>
      </w:pPr>
      <w:r w:rsidRPr="00D45618">
        <w:t>サブパート</w:t>
      </w:r>
      <w:r w:rsidRPr="00D45618">
        <w:t>2</w:t>
      </w:r>
      <w:r w:rsidRPr="00D45618">
        <w:t>：販売制限のある医薬品</w:t>
      </w:r>
    </w:p>
    <w:p w14:paraId="30A0CA6F" w14:textId="77777777" w:rsidR="00D45618" w:rsidRPr="00D45618" w:rsidRDefault="00D45618" w:rsidP="00D45618">
      <w:pPr>
        <w:numPr>
          <w:ilvl w:val="0"/>
          <w:numId w:val="16"/>
        </w:numPr>
      </w:pPr>
      <w:r w:rsidRPr="00D45618">
        <w:t>第</w:t>
      </w:r>
      <w:r w:rsidRPr="00D45618">
        <w:t>2</w:t>
      </w:r>
      <w:r w:rsidRPr="00D45618">
        <w:t>部</w:t>
      </w:r>
      <w:r w:rsidRPr="00D45618">
        <w:t xml:space="preserve"> </w:t>
      </w:r>
      <w:r w:rsidRPr="00D45618">
        <w:t>例外的販売のみの医薬品</w:t>
      </w:r>
    </w:p>
    <w:p w14:paraId="2382DCE4" w14:textId="77777777" w:rsidR="00D45618" w:rsidRPr="00D45618" w:rsidRDefault="00D45618" w:rsidP="00D45618">
      <w:pPr>
        <w:numPr>
          <w:ilvl w:val="1"/>
          <w:numId w:val="16"/>
        </w:numPr>
      </w:pPr>
      <w:r w:rsidRPr="00D45618">
        <w:t>サブパート</w:t>
      </w:r>
      <w:r w:rsidRPr="00D45618">
        <w:t>1</w:t>
      </w:r>
      <w:r w:rsidRPr="00D45618">
        <w:t>：</w:t>
      </w:r>
      <w:r w:rsidRPr="00D45618">
        <w:t xml:space="preserve"> </w:t>
      </w:r>
      <w:r w:rsidRPr="00D45618">
        <w:t>販売制限のない医薬品</w:t>
      </w:r>
    </w:p>
    <w:p w14:paraId="6E60E520" w14:textId="77777777" w:rsidR="00D45618" w:rsidRDefault="00D45618" w:rsidP="00D45618">
      <w:pPr>
        <w:numPr>
          <w:ilvl w:val="1"/>
          <w:numId w:val="16"/>
        </w:numPr>
      </w:pPr>
      <w:r w:rsidRPr="00D45618">
        <w:t>サブパート</w:t>
      </w:r>
      <w:r w:rsidRPr="00D45618">
        <w:t>2</w:t>
      </w:r>
      <w:r w:rsidRPr="00D45618">
        <w:t>：販売制限のある医薬品</w:t>
      </w:r>
    </w:p>
    <w:p w14:paraId="6C40A0CB" w14:textId="77777777" w:rsidR="00D45618" w:rsidRPr="00D45618" w:rsidRDefault="00D45618" w:rsidP="00D45618">
      <w:pPr>
        <w:numPr>
          <w:ilvl w:val="1"/>
          <w:numId w:val="16"/>
        </w:numPr>
      </w:pPr>
    </w:p>
    <w:p w14:paraId="1642F5B6" w14:textId="77777777" w:rsidR="00D45618" w:rsidRPr="00D45618" w:rsidRDefault="00D45618" w:rsidP="00D45618">
      <w:pPr>
        <w:rPr>
          <w:b/>
          <w:bCs/>
        </w:rPr>
      </w:pPr>
      <w:r w:rsidRPr="00D45618">
        <w:rPr>
          <w:b/>
          <w:bCs/>
        </w:rPr>
        <w:t>リストの維持方法</w:t>
      </w:r>
    </w:p>
    <w:p w14:paraId="21D90EFA" w14:textId="77777777" w:rsidR="00D45618" w:rsidRPr="00D45618" w:rsidRDefault="00D45618" w:rsidP="00D45618">
      <w:r w:rsidRPr="00D45618">
        <w:t>このリストは、提案された規制の中で参照により組み込まれる。</w:t>
      </w:r>
      <w:r w:rsidRPr="00D45618">
        <w:t xml:space="preserve"> </w:t>
      </w:r>
      <w:r w:rsidRPr="00D45618">
        <w:t>カナダ保健省は、</w:t>
      </w:r>
      <w:hyperlink r:id="rId7" w:history="1">
        <w:r w:rsidRPr="00D45618">
          <w:rPr>
            <w:rStyle w:val="a3"/>
          </w:rPr>
          <w:t>Incorporation by Reference Policy</w:t>
        </w:r>
      </w:hyperlink>
      <w:r w:rsidRPr="00D45618">
        <w:t>に従って、必要に応じてこのリストを維持・更新する。</w:t>
      </w:r>
    </w:p>
    <w:p w14:paraId="73C80540" w14:textId="77777777" w:rsidR="00F422A4" w:rsidRPr="00D45618" w:rsidRDefault="00F422A4" w:rsidP="00D45618">
      <w:pPr>
        <w:rPr>
          <w:rFonts w:hint="eastAsia"/>
        </w:rPr>
      </w:pPr>
    </w:p>
    <w:sectPr w:rsidR="00F422A4" w:rsidRPr="00D45618" w:rsidSect="00F422A4">
      <w:pgSz w:w="11906" w:h="16838" w:code="9"/>
      <w:pgMar w:top="1418" w:right="1418" w:bottom="1418" w:left="1418" w:header="851" w:footer="992" w:gutter="0"/>
      <w:cols w:space="425"/>
      <w:docGrid w:type="linesAndChars" w:linePitch="311"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1307"/>
    <w:multiLevelType w:val="multilevel"/>
    <w:tmpl w:val="3C365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E2E0E"/>
    <w:multiLevelType w:val="hybridMultilevel"/>
    <w:tmpl w:val="1BC815B6"/>
    <w:lvl w:ilvl="0" w:tplc="0409000B">
      <w:start w:val="1"/>
      <w:numFmt w:val="bullet"/>
      <w:lvlText w:val=""/>
      <w:lvlJc w:val="left"/>
      <w:pPr>
        <w:ind w:left="2600" w:hanging="440"/>
      </w:pPr>
      <w:rPr>
        <w:rFonts w:ascii="Wingdings" w:hAnsi="Wingdings" w:hint="default"/>
      </w:rPr>
    </w:lvl>
    <w:lvl w:ilvl="1" w:tplc="0409000B" w:tentative="1">
      <w:start w:val="1"/>
      <w:numFmt w:val="bullet"/>
      <w:lvlText w:val=""/>
      <w:lvlJc w:val="left"/>
      <w:pPr>
        <w:ind w:left="3040" w:hanging="440"/>
      </w:pPr>
      <w:rPr>
        <w:rFonts w:ascii="Wingdings" w:hAnsi="Wingdings" w:hint="default"/>
      </w:rPr>
    </w:lvl>
    <w:lvl w:ilvl="2" w:tplc="0409000D" w:tentative="1">
      <w:start w:val="1"/>
      <w:numFmt w:val="bullet"/>
      <w:lvlText w:val=""/>
      <w:lvlJc w:val="left"/>
      <w:pPr>
        <w:ind w:left="3480" w:hanging="440"/>
      </w:pPr>
      <w:rPr>
        <w:rFonts w:ascii="Wingdings" w:hAnsi="Wingdings" w:hint="default"/>
      </w:rPr>
    </w:lvl>
    <w:lvl w:ilvl="3" w:tplc="04090001" w:tentative="1">
      <w:start w:val="1"/>
      <w:numFmt w:val="bullet"/>
      <w:lvlText w:val=""/>
      <w:lvlJc w:val="left"/>
      <w:pPr>
        <w:ind w:left="3920" w:hanging="440"/>
      </w:pPr>
      <w:rPr>
        <w:rFonts w:ascii="Wingdings" w:hAnsi="Wingdings" w:hint="default"/>
      </w:rPr>
    </w:lvl>
    <w:lvl w:ilvl="4" w:tplc="0409000B" w:tentative="1">
      <w:start w:val="1"/>
      <w:numFmt w:val="bullet"/>
      <w:lvlText w:val=""/>
      <w:lvlJc w:val="left"/>
      <w:pPr>
        <w:ind w:left="4360" w:hanging="440"/>
      </w:pPr>
      <w:rPr>
        <w:rFonts w:ascii="Wingdings" w:hAnsi="Wingdings" w:hint="default"/>
      </w:rPr>
    </w:lvl>
    <w:lvl w:ilvl="5" w:tplc="0409000D" w:tentative="1">
      <w:start w:val="1"/>
      <w:numFmt w:val="bullet"/>
      <w:lvlText w:val=""/>
      <w:lvlJc w:val="left"/>
      <w:pPr>
        <w:ind w:left="4800" w:hanging="440"/>
      </w:pPr>
      <w:rPr>
        <w:rFonts w:ascii="Wingdings" w:hAnsi="Wingdings" w:hint="default"/>
      </w:rPr>
    </w:lvl>
    <w:lvl w:ilvl="6" w:tplc="04090001" w:tentative="1">
      <w:start w:val="1"/>
      <w:numFmt w:val="bullet"/>
      <w:lvlText w:val=""/>
      <w:lvlJc w:val="left"/>
      <w:pPr>
        <w:ind w:left="5240" w:hanging="440"/>
      </w:pPr>
      <w:rPr>
        <w:rFonts w:ascii="Wingdings" w:hAnsi="Wingdings" w:hint="default"/>
      </w:rPr>
    </w:lvl>
    <w:lvl w:ilvl="7" w:tplc="0409000B" w:tentative="1">
      <w:start w:val="1"/>
      <w:numFmt w:val="bullet"/>
      <w:lvlText w:val=""/>
      <w:lvlJc w:val="left"/>
      <w:pPr>
        <w:ind w:left="5680" w:hanging="440"/>
      </w:pPr>
      <w:rPr>
        <w:rFonts w:ascii="Wingdings" w:hAnsi="Wingdings" w:hint="default"/>
      </w:rPr>
    </w:lvl>
    <w:lvl w:ilvl="8" w:tplc="0409000D" w:tentative="1">
      <w:start w:val="1"/>
      <w:numFmt w:val="bullet"/>
      <w:lvlText w:val=""/>
      <w:lvlJc w:val="left"/>
      <w:pPr>
        <w:ind w:left="6120" w:hanging="440"/>
      </w:pPr>
      <w:rPr>
        <w:rFonts w:ascii="Wingdings" w:hAnsi="Wingdings" w:hint="default"/>
      </w:rPr>
    </w:lvl>
  </w:abstractNum>
  <w:abstractNum w:abstractNumId="2" w15:restartNumberingAfterBreak="0">
    <w:nsid w:val="1C423CB0"/>
    <w:multiLevelType w:val="multilevel"/>
    <w:tmpl w:val="D616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26968"/>
    <w:multiLevelType w:val="multilevel"/>
    <w:tmpl w:val="0B564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6B5740"/>
    <w:multiLevelType w:val="multilevel"/>
    <w:tmpl w:val="F970F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707A0D"/>
    <w:multiLevelType w:val="multilevel"/>
    <w:tmpl w:val="1A1C1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AB6297"/>
    <w:multiLevelType w:val="hybridMultilevel"/>
    <w:tmpl w:val="EA36BB68"/>
    <w:lvl w:ilvl="0" w:tplc="9B3CE1D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E924361"/>
    <w:multiLevelType w:val="multilevel"/>
    <w:tmpl w:val="48EA8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6B4487"/>
    <w:multiLevelType w:val="multilevel"/>
    <w:tmpl w:val="47CCD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671794"/>
    <w:multiLevelType w:val="multilevel"/>
    <w:tmpl w:val="9A0E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0A7BB6"/>
    <w:multiLevelType w:val="hybridMultilevel"/>
    <w:tmpl w:val="DF0EC00E"/>
    <w:lvl w:ilvl="0" w:tplc="7086613E">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56C747AE"/>
    <w:multiLevelType w:val="multilevel"/>
    <w:tmpl w:val="2A06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1F5592"/>
    <w:multiLevelType w:val="multilevel"/>
    <w:tmpl w:val="080AA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7B313D"/>
    <w:multiLevelType w:val="multilevel"/>
    <w:tmpl w:val="5516B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4A736B"/>
    <w:multiLevelType w:val="multilevel"/>
    <w:tmpl w:val="645A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3E1F58"/>
    <w:multiLevelType w:val="multilevel"/>
    <w:tmpl w:val="3FFAA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4057969">
    <w:abstractNumId w:val="15"/>
  </w:num>
  <w:num w:numId="2" w16cid:durableId="1175924032">
    <w:abstractNumId w:val="2"/>
  </w:num>
  <w:num w:numId="3" w16cid:durableId="789007337">
    <w:abstractNumId w:val="7"/>
  </w:num>
  <w:num w:numId="4" w16cid:durableId="72513560">
    <w:abstractNumId w:val="12"/>
  </w:num>
  <w:num w:numId="5" w16cid:durableId="679309798">
    <w:abstractNumId w:val="14"/>
  </w:num>
  <w:num w:numId="6" w16cid:durableId="1059524044">
    <w:abstractNumId w:val="1"/>
  </w:num>
  <w:num w:numId="7" w16cid:durableId="57559155">
    <w:abstractNumId w:val="6"/>
  </w:num>
  <w:num w:numId="8" w16cid:durableId="2120644123">
    <w:abstractNumId w:val="10"/>
  </w:num>
  <w:num w:numId="9" w16cid:durableId="1210797528">
    <w:abstractNumId w:val="11"/>
  </w:num>
  <w:num w:numId="10" w16cid:durableId="1985694496">
    <w:abstractNumId w:val="5"/>
  </w:num>
  <w:num w:numId="11" w16cid:durableId="505021523">
    <w:abstractNumId w:val="9"/>
  </w:num>
  <w:num w:numId="12" w16cid:durableId="1075665233">
    <w:abstractNumId w:val="3"/>
  </w:num>
  <w:num w:numId="13" w16cid:durableId="688289850">
    <w:abstractNumId w:val="0"/>
  </w:num>
  <w:num w:numId="14" w16cid:durableId="1017075203">
    <w:abstractNumId w:val="4"/>
  </w:num>
  <w:num w:numId="15" w16cid:durableId="179397486">
    <w:abstractNumId w:val="13"/>
  </w:num>
  <w:num w:numId="16" w16cid:durableId="18122878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rawingGridVerticalSpacing w:val="3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2A4"/>
    <w:rsid w:val="00002F8F"/>
    <w:rsid w:val="00037440"/>
    <w:rsid w:val="00304F66"/>
    <w:rsid w:val="00356F45"/>
    <w:rsid w:val="005D28FD"/>
    <w:rsid w:val="006B1081"/>
    <w:rsid w:val="00992C68"/>
    <w:rsid w:val="009C5BE2"/>
    <w:rsid w:val="009E578E"/>
    <w:rsid w:val="00B9507F"/>
    <w:rsid w:val="00C41622"/>
    <w:rsid w:val="00D45618"/>
    <w:rsid w:val="00F422A4"/>
    <w:rsid w:val="00FD4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4B7D9E"/>
  <w15:chartTrackingRefBased/>
  <w15:docId w15:val="{0E54C275-9827-4D85-B511-B53B8ADA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2A4"/>
    <w:pPr>
      <w:widowControl w:val="0"/>
    </w:pPr>
    <w:rPr>
      <w:rFonts w:ascii="Times New Roman" w:eastAsia="ＭＳ Ｐ明朝" w:hAnsi="Times New Roman"/>
      <w:sz w:val="21"/>
    </w:rPr>
  </w:style>
  <w:style w:type="paragraph" w:styleId="1">
    <w:name w:val="heading 1"/>
    <w:basedOn w:val="a"/>
    <w:next w:val="a"/>
    <w:link w:val="10"/>
    <w:uiPriority w:val="9"/>
    <w:qFormat/>
    <w:rsid w:val="00F422A4"/>
    <w:pPr>
      <w:keepNext/>
      <w:outlineLvl w:val="0"/>
    </w:pPr>
    <w:rPr>
      <w:rFonts w:asciiTheme="majorHAnsi" w:eastAsiaTheme="majorEastAsia" w:hAnsiTheme="majorHAnsi" w:cstheme="majorBidi"/>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422A4"/>
    <w:rPr>
      <w:rFonts w:asciiTheme="majorHAnsi" w:eastAsiaTheme="majorEastAsia" w:hAnsiTheme="majorHAnsi" w:cstheme="majorBidi"/>
      <w:sz w:val="24"/>
    </w:rPr>
  </w:style>
  <w:style w:type="character" w:styleId="a3">
    <w:name w:val="Hyperlink"/>
    <w:basedOn w:val="a0"/>
    <w:uiPriority w:val="99"/>
    <w:unhideWhenUsed/>
    <w:rsid w:val="00F422A4"/>
    <w:rPr>
      <w:color w:val="467886" w:themeColor="hyperlink"/>
      <w:u w:val="single"/>
    </w:rPr>
  </w:style>
  <w:style w:type="character" w:styleId="a4">
    <w:name w:val="Unresolved Mention"/>
    <w:basedOn w:val="a0"/>
    <w:uiPriority w:val="99"/>
    <w:semiHidden/>
    <w:unhideWhenUsed/>
    <w:rsid w:val="00F422A4"/>
    <w:rPr>
      <w:color w:val="605E5C"/>
      <w:shd w:val="clear" w:color="auto" w:fill="E1DFDD"/>
    </w:rPr>
  </w:style>
  <w:style w:type="paragraph" w:styleId="a5">
    <w:name w:val="List Paragraph"/>
    <w:basedOn w:val="a"/>
    <w:uiPriority w:val="34"/>
    <w:qFormat/>
    <w:rsid w:val="00B950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844972">
      <w:bodyDiv w:val="1"/>
      <w:marLeft w:val="0"/>
      <w:marRight w:val="0"/>
      <w:marTop w:val="0"/>
      <w:marBottom w:val="0"/>
      <w:divBdr>
        <w:top w:val="none" w:sz="0" w:space="0" w:color="auto"/>
        <w:left w:val="none" w:sz="0" w:space="0" w:color="auto"/>
        <w:bottom w:val="none" w:sz="0" w:space="0" w:color="auto"/>
        <w:right w:val="none" w:sz="0" w:space="0" w:color="auto"/>
      </w:divBdr>
    </w:div>
    <w:div w:id="277569497">
      <w:bodyDiv w:val="1"/>
      <w:marLeft w:val="0"/>
      <w:marRight w:val="0"/>
      <w:marTop w:val="0"/>
      <w:marBottom w:val="0"/>
      <w:divBdr>
        <w:top w:val="none" w:sz="0" w:space="0" w:color="auto"/>
        <w:left w:val="none" w:sz="0" w:space="0" w:color="auto"/>
        <w:bottom w:val="none" w:sz="0" w:space="0" w:color="auto"/>
        <w:right w:val="none" w:sz="0" w:space="0" w:color="auto"/>
      </w:divBdr>
    </w:div>
    <w:div w:id="300304072">
      <w:bodyDiv w:val="1"/>
      <w:marLeft w:val="0"/>
      <w:marRight w:val="0"/>
      <w:marTop w:val="0"/>
      <w:marBottom w:val="0"/>
      <w:divBdr>
        <w:top w:val="none" w:sz="0" w:space="0" w:color="auto"/>
        <w:left w:val="none" w:sz="0" w:space="0" w:color="auto"/>
        <w:bottom w:val="none" w:sz="0" w:space="0" w:color="auto"/>
        <w:right w:val="none" w:sz="0" w:space="0" w:color="auto"/>
      </w:divBdr>
    </w:div>
    <w:div w:id="635070528">
      <w:bodyDiv w:val="1"/>
      <w:marLeft w:val="0"/>
      <w:marRight w:val="0"/>
      <w:marTop w:val="0"/>
      <w:marBottom w:val="0"/>
      <w:divBdr>
        <w:top w:val="none" w:sz="0" w:space="0" w:color="auto"/>
        <w:left w:val="none" w:sz="0" w:space="0" w:color="auto"/>
        <w:bottom w:val="none" w:sz="0" w:space="0" w:color="auto"/>
        <w:right w:val="none" w:sz="0" w:space="0" w:color="auto"/>
      </w:divBdr>
    </w:div>
    <w:div w:id="833374432">
      <w:bodyDiv w:val="1"/>
      <w:marLeft w:val="0"/>
      <w:marRight w:val="0"/>
      <w:marTop w:val="0"/>
      <w:marBottom w:val="0"/>
      <w:divBdr>
        <w:top w:val="none" w:sz="0" w:space="0" w:color="auto"/>
        <w:left w:val="none" w:sz="0" w:space="0" w:color="auto"/>
        <w:bottom w:val="none" w:sz="0" w:space="0" w:color="auto"/>
        <w:right w:val="none" w:sz="0" w:space="0" w:color="auto"/>
      </w:divBdr>
    </w:div>
    <w:div w:id="1036659747">
      <w:bodyDiv w:val="1"/>
      <w:marLeft w:val="0"/>
      <w:marRight w:val="0"/>
      <w:marTop w:val="0"/>
      <w:marBottom w:val="0"/>
      <w:divBdr>
        <w:top w:val="none" w:sz="0" w:space="0" w:color="auto"/>
        <w:left w:val="none" w:sz="0" w:space="0" w:color="auto"/>
        <w:bottom w:val="none" w:sz="0" w:space="0" w:color="auto"/>
        <w:right w:val="none" w:sz="0" w:space="0" w:color="auto"/>
      </w:divBdr>
      <w:divsChild>
        <w:div w:id="1374499217">
          <w:marLeft w:val="0"/>
          <w:marRight w:val="0"/>
          <w:marTop w:val="0"/>
          <w:marBottom w:val="0"/>
          <w:divBdr>
            <w:top w:val="none" w:sz="0" w:space="0" w:color="auto"/>
            <w:left w:val="none" w:sz="0" w:space="0" w:color="auto"/>
            <w:bottom w:val="none" w:sz="0" w:space="0" w:color="auto"/>
            <w:right w:val="none" w:sz="0" w:space="0" w:color="auto"/>
          </w:divBdr>
          <w:divsChild>
            <w:div w:id="1562403135">
              <w:marLeft w:val="0"/>
              <w:marRight w:val="0"/>
              <w:marTop w:val="0"/>
              <w:marBottom w:val="300"/>
              <w:divBdr>
                <w:top w:val="single" w:sz="6" w:space="14" w:color="E3E3E3"/>
                <w:left w:val="single" w:sz="6" w:space="14" w:color="E3E3E3"/>
                <w:bottom w:val="single" w:sz="6" w:space="14" w:color="E3E3E3"/>
                <w:right w:val="single" w:sz="6" w:space="14" w:color="E3E3E3"/>
              </w:divBdr>
            </w:div>
            <w:div w:id="1320420521">
              <w:marLeft w:val="0"/>
              <w:marRight w:val="0"/>
              <w:marTop w:val="0"/>
              <w:marBottom w:val="0"/>
              <w:divBdr>
                <w:top w:val="none" w:sz="0" w:space="0" w:color="auto"/>
                <w:left w:val="none" w:sz="0" w:space="0" w:color="auto"/>
                <w:bottom w:val="none" w:sz="0" w:space="0" w:color="auto"/>
                <w:right w:val="none" w:sz="0" w:space="0" w:color="auto"/>
              </w:divBdr>
            </w:div>
          </w:divsChild>
        </w:div>
        <w:div w:id="1671449266">
          <w:marLeft w:val="0"/>
          <w:marRight w:val="0"/>
          <w:marTop w:val="0"/>
          <w:marBottom w:val="0"/>
          <w:divBdr>
            <w:top w:val="none" w:sz="0" w:space="0" w:color="auto"/>
            <w:left w:val="none" w:sz="0" w:space="0" w:color="auto"/>
            <w:bottom w:val="none" w:sz="0" w:space="0" w:color="auto"/>
            <w:right w:val="none" w:sz="0" w:space="0" w:color="auto"/>
          </w:divBdr>
          <w:divsChild>
            <w:div w:id="768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7204">
      <w:bodyDiv w:val="1"/>
      <w:marLeft w:val="0"/>
      <w:marRight w:val="0"/>
      <w:marTop w:val="0"/>
      <w:marBottom w:val="0"/>
      <w:divBdr>
        <w:top w:val="none" w:sz="0" w:space="0" w:color="auto"/>
        <w:left w:val="none" w:sz="0" w:space="0" w:color="auto"/>
        <w:bottom w:val="none" w:sz="0" w:space="0" w:color="auto"/>
        <w:right w:val="none" w:sz="0" w:space="0" w:color="auto"/>
      </w:divBdr>
    </w:div>
    <w:div w:id="1189686912">
      <w:bodyDiv w:val="1"/>
      <w:marLeft w:val="0"/>
      <w:marRight w:val="0"/>
      <w:marTop w:val="0"/>
      <w:marBottom w:val="0"/>
      <w:divBdr>
        <w:top w:val="none" w:sz="0" w:space="0" w:color="auto"/>
        <w:left w:val="none" w:sz="0" w:space="0" w:color="auto"/>
        <w:bottom w:val="none" w:sz="0" w:space="0" w:color="auto"/>
        <w:right w:val="none" w:sz="0" w:space="0" w:color="auto"/>
      </w:divBdr>
    </w:div>
    <w:div w:id="1316380025">
      <w:bodyDiv w:val="1"/>
      <w:marLeft w:val="0"/>
      <w:marRight w:val="0"/>
      <w:marTop w:val="0"/>
      <w:marBottom w:val="0"/>
      <w:divBdr>
        <w:top w:val="none" w:sz="0" w:space="0" w:color="auto"/>
        <w:left w:val="none" w:sz="0" w:space="0" w:color="auto"/>
        <w:bottom w:val="none" w:sz="0" w:space="0" w:color="auto"/>
        <w:right w:val="none" w:sz="0" w:space="0" w:color="auto"/>
      </w:divBdr>
    </w:div>
    <w:div w:id="1505050074">
      <w:bodyDiv w:val="1"/>
      <w:marLeft w:val="0"/>
      <w:marRight w:val="0"/>
      <w:marTop w:val="0"/>
      <w:marBottom w:val="0"/>
      <w:divBdr>
        <w:top w:val="none" w:sz="0" w:space="0" w:color="auto"/>
        <w:left w:val="none" w:sz="0" w:space="0" w:color="auto"/>
        <w:bottom w:val="none" w:sz="0" w:space="0" w:color="auto"/>
        <w:right w:val="none" w:sz="0" w:space="0" w:color="auto"/>
      </w:divBdr>
    </w:div>
    <w:div w:id="1545437107">
      <w:bodyDiv w:val="1"/>
      <w:marLeft w:val="0"/>
      <w:marRight w:val="0"/>
      <w:marTop w:val="0"/>
      <w:marBottom w:val="0"/>
      <w:divBdr>
        <w:top w:val="none" w:sz="0" w:space="0" w:color="auto"/>
        <w:left w:val="none" w:sz="0" w:space="0" w:color="auto"/>
        <w:bottom w:val="none" w:sz="0" w:space="0" w:color="auto"/>
        <w:right w:val="none" w:sz="0" w:space="0" w:color="auto"/>
      </w:divBdr>
    </w:div>
    <w:div w:id="1593512209">
      <w:bodyDiv w:val="1"/>
      <w:marLeft w:val="0"/>
      <w:marRight w:val="0"/>
      <w:marTop w:val="0"/>
      <w:marBottom w:val="0"/>
      <w:divBdr>
        <w:top w:val="none" w:sz="0" w:space="0" w:color="auto"/>
        <w:left w:val="none" w:sz="0" w:space="0" w:color="auto"/>
        <w:bottom w:val="none" w:sz="0" w:space="0" w:color="auto"/>
        <w:right w:val="none" w:sz="0" w:space="0" w:color="auto"/>
      </w:divBdr>
    </w:div>
    <w:div w:id="1935631999">
      <w:bodyDiv w:val="1"/>
      <w:marLeft w:val="0"/>
      <w:marRight w:val="0"/>
      <w:marTop w:val="0"/>
      <w:marBottom w:val="0"/>
      <w:divBdr>
        <w:top w:val="none" w:sz="0" w:space="0" w:color="auto"/>
        <w:left w:val="none" w:sz="0" w:space="0" w:color="auto"/>
        <w:bottom w:val="none" w:sz="0" w:space="0" w:color="auto"/>
        <w:right w:val="none" w:sz="0" w:space="0" w:color="auto"/>
      </w:divBdr>
      <w:divsChild>
        <w:div w:id="1839150620">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1953854724">
      <w:bodyDiv w:val="1"/>
      <w:marLeft w:val="0"/>
      <w:marRight w:val="0"/>
      <w:marTop w:val="0"/>
      <w:marBottom w:val="0"/>
      <w:divBdr>
        <w:top w:val="none" w:sz="0" w:space="0" w:color="auto"/>
        <w:left w:val="none" w:sz="0" w:space="0" w:color="auto"/>
        <w:bottom w:val="none" w:sz="0" w:space="0" w:color="auto"/>
        <w:right w:val="none" w:sz="0" w:space="0" w:color="auto"/>
      </w:divBdr>
      <w:divsChild>
        <w:div w:id="134528230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2024700466">
      <w:bodyDiv w:val="1"/>
      <w:marLeft w:val="0"/>
      <w:marRight w:val="0"/>
      <w:marTop w:val="0"/>
      <w:marBottom w:val="0"/>
      <w:divBdr>
        <w:top w:val="none" w:sz="0" w:space="0" w:color="auto"/>
        <w:left w:val="none" w:sz="0" w:space="0" w:color="auto"/>
        <w:bottom w:val="none" w:sz="0" w:space="0" w:color="auto"/>
        <w:right w:val="none" w:sz="0" w:space="0" w:color="auto"/>
      </w:divBdr>
      <w:divsChild>
        <w:div w:id="237524466">
          <w:marLeft w:val="0"/>
          <w:marRight w:val="0"/>
          <w:marTop w:val="0"/>
          <w:marBottom w:val="0"/>
          <w:divBdr>
            <w:top w:val="none" w:sz="0" w:space="0" w:color="auto"/>
            <w:left w:val="none" w:sz="0" w:space="0" w:color="auto"/>
            <w:bottom w:val="none" w:sz="0" w:space="0" w:color="auto"/>
            <w:right w:val="none" w:sz="0" w:space="0" w:color="auto"/>
          </w:divBdr>
          <w:divsChild>
            <w:div w:id="700130381">
              <w:marLeft w:val="0"/>
              <w:marRight w:val="0"/>
              <w:marTop w:val="0"/>
              <w:marBottom w:val="300"/>
              <w:divBdr>
                <w:top w:val="single" w:sz="6" w:space="14" w:color="E3E3E3"/>
                <w:left w:val="single" w:sz="6" w:space="14" w:color="E3E3E3"/>
                <w:bottom w:val="single" w:sz="6" w:space="14" w:color="E3E3E3"/>
                <w:right w:val="single" w:sz="6" w:space="14" w:color="E3E3E3"/>
              </w:divBdr>
            </w:div>
            <w:div w:id="1500341902">
              <w:marLeft w:val="0"/>
              <w:marRight w:val="0"/>
              <w:marTop w:val="0"/>
              <w:marBottom w:val="0"/>
              <w:divBdr>
                <w:top w:val="none" w:sz="0" w:space="0" w:color="auto"/>
                <w:left w:val="none" w:sz="0" w:space="0" w:color="auto"/>
                <w:bottom w:val="none" w:sz="0" w:space="0" w:color="auto"/>
                <w:right w:val="none" w:sz="0" w:space="0" w:color="auto"/>
              </w:divBdr>
            </w:div>
          </w:divsChild>
        </w:div>
        <w:div w:id="1838837681">
          <w:marLeft w:val="0"/>
          <w:marRight w:val="0"/>
          <w:marTop w:val="0"/>
          <w:marBottom w:val="0"/>
          <w:divBdr>
            <w:top w:val="none" w:sz="0" w:space="0" w:color="auto"/>
            <w:left w:val="none" w:sz="0" w:space="0" w:color="auto"/>
            <w:bottom w:val="none" w:sz="0" w:space="0" w:color="auto"/>
            <w:right w:val="none" w:sz="0" w:space="0" w:color="auto"/>
          </w:divBdr>
          <w:divsChild>
            <w:div w:id="150126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1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nada.ca/en/health-canada/corporate/about-health-canada/legislation-guidelines/acts-regulations/incorporation-reference-polic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nada.ca/en/health-canada/services/drugs-health-products/drug-products/drug-shortages/regulations-guidance/guide-exceptional-importation-sale-response-drug-shortages-discontinuations.html" TargetMode="External"/><Relationship Id="rId5" Type="http://schemas.openxmlformats.org/officeDocument/2006/relationships/hyperlink" Target="https://www.canada.ca/en/health-canada/services/drugs-health-products/drug-products/drug-shortages/list-exceptional-importation-sale.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SAKAMAKI Hiroyuki</dc:creator>
  <cp:keywords/>
  <dc:description/>
  <cp:lastModifiedBy>SAKAMAKI Hiroyuki</cp:lastModifiedBy>
  <cp:revision>2</cp:revision>
  <dcterms:created xsi:type="dcterms:W3CDTF">2025-01-13T08:27:00Z</dcterms:created>
  <dcterms:modified xsi:type="dcterms:W3CDTF">2025-01-13T08:27:00Z</dcterms:modified>
</cp:coreProperties>
</file>