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4AA6" w14:textId="77777777" w:rsidR="00CC0C1B" w:rsidRDefault="009268C1" w:rsidP="00DD3A65">
      <w:pPr>
        <w:spacing w:after="0" w:line="240" w:lineRule="auto"/>
        <w:jc w:val="both"/>
      </w:pPr>
      <w:r w:rsidRPr="009268C1">
        <w:rPr>
          <w:rFonts w:hint="eastAsia"/>
        </w:rPr>
        <w:t>重要かつ脆弱な医薬品リスト</w:t>
      </w:r>
      <w:r w:rsidR="00CC0C1B" w:rsidRPr="00CC0C1B">
        <w:t xml:space="preserve">Critical and Vulnerable Drug List </w:t>
      </w:r>
    </w:p>
    <w:p w14:paraId="1C370866" w14:textId="73EA6A45" w:rsidR="00F422A4" w:rsidRDefault="00CC0C1B">
      <w:hyperlink r:id="rId7" w:history="1">
        <w:r w:rsidRPr="00287FE8">
          <w:rPr>
            <w:rStyle w:val="a3"/>
          </w:rPr>
          <w:t>https://www.canada.ca/en/health-canada/services/drugs-health-products/drug-products/drug-shortages/regulations-guidance/critical-vulnerable-list.html</w:t>
        </w:r>
      </w:hyperlink>
    </w:p>
    <w:p w14:paraId="32070239" w14:textId="77777777" w:rsidR="00CC0C1B" w:rsidRPr="00CC0C1B" w:rsidRDefault="00CC0C1B"/>
    <w:p w14:paraId="749C0F6A" w14:textId="77777777" w:rsidR="00DD3A65" w:rsidRPr="00DD3A65" w:rsidRDefault="00DD3A65" w:rsidP="00DD3A65">
      <w:pPr>
        <w:rPr>
          <w:b/>
          <w:bCs/>
        </w:rPr>
      </w:pPr>
      <w:r w:rsidRPr="00DD3A65">
        <w:rPr>
          <w:b/>
          <w:bCs/>
        </w:rPr>
        <w:t>概要</w:t>
      </w:r>
    </w:p>
    <w:p w14:paraId="22084F32" w14:textId="285E55B4" w:rsidR="00DD3A65" w:rsidRPr="00DD3A65" w:rsidRDefault="00DD3A65" w:rsidP="00DD3A65">
      <w:r w:rsidRPr="00DD3A65">
        <w:t>2024</w:t>
      </w:r>
      <w:r w:rsidRPr="00DD3A65">
        <w:t>年</w:t>
      </w:r>
      <w:r w:rsidRPr="00DD3A65">
        <w:t>6</w:t>
      </w:r>
      <w:r w:rsidRPr="00DD3A65">
        <w:t>月、カナダ保健省は患者にとって重要であり、不足しやすい医薬品のリストを公表することを約束した。</w:t>
      </w:r>
      <w:r w:rsidRPr="00DD3A65">
        <w:t xml:space="preserve"> </w:t>
      </w:r>
      <w:r w:rsidRPr="00DD3A65">
        <w:t>このリストは、医薬品不足の関係者が、不足に陥った場合に最も危害をもたらす可能性の高い医薬品に行動と資源を集中させるのに役立</w:t>
      </w:r>
      <w:r>
        <w:rPr>
          <w:rFonts w:hint="eastAsia"/>
        </w:rPr>
        <w:t>つ</w:t>
      </w:r>
      <w:r w:rsidRPr="00DD3A65">
        <w:t>。</w:t>
      </w:r>
    </w:p>
    <w:p w14:paraId="33D2E40B" w14:textId="66DDD05F" w:rsidR="00DD3A65" w:rsidRPr="00DD3A65" w:rsidRDefault="00DD3A65" w:rsidP="00DD3A65">
      <w:pPr>
        <w:rPr>
          <w:b/>
          <w:bCs/>
        </w:rPr>
      </w:pPr>
      <w:r w:rsidRPr="00DD3A65">
        <w:t>協議のために</w:t>
      </w:r>
      <w:r>
        <w:rPr>
          <w:rFonts w:hint="eastAsia"/>
        </w:rPr>
        <w:t>「</w:t>
      </w:r>
      <w:r w:rsidRPr="00DD3A65">
        <w:rPr>
          <w:b/>
          <w:bCs/>
        </w:rPr>
        <w:t>重要かつ脆弱な医薬品リスト</w:t>
      </w:r>
      <w:r w:rsidRPr="00DD3A65">
        <w:t>（</w:t>
      </w:r>
      <w:r w:rsidRPr="00DD3A65">
        <w:t>Critical and Vulnerable Drug List</w:t>
      </w:r>
      <w:r>
        <w:rPr>
          <w:rFonts w:hint="eastAsia"/>
        </w:rPr>
        <w:t>：</w:t>
      </w:r>
      <w:r w:rsidRPr="00DD3A65">
        <w:t>CVDL</w:t>
      </w:r>
      <w:r w:rsidRPr="00DD3A65">
        <w:t>）</w:t>
      </w:r>
      <w:r>
        <w:rPr>
          <w:rFonts w:hint="eastAsia"/>
        </w:rPr>
        <w:t>」</w:t>
      </w:r>
      <w:r w:rsidRPr="00DD3A65">
        <w:t>の最初の草案を作成した。</w:t>
      </w:r>
      <w:r w:rsidRPr="00DD3A65">
        <w:t xml:space="preserve"> </w:t>
      </w:r>
      <w:r w:rsidRPr="00DD3A65">
        <w:t>このリストには、医薬品が不足した場合、人の健康を損なう深刻なリスクがあると考えられる医薬品が含まれてい</w:t>
      </w:r>
      <w:r>
        <w:rPr>
          <w:rFonts w:hint="eastAsia"/>
        </w:rPr>
        <w:t>る</w:t>
      </w:r>
      <w:r w:rsidRPr="00DD3A65">
        <w:t>。このリストに掲載されている医薬品には、不足しやすい特徴があ</w:t>
      </w:r>
      <w:r>
        <w:rPr>
          <w:rFonts w:hint="eastAsia"/>
        </w:rPr>
        <w:t>る</w:t>
      </w:r>
      <w:r w:rsidRPr="00DD3A65">
        <w:t>。</w:t>
      </w:r>
      <w:r w:rsidRPr="00DD3A65">
        <w:t xml:space="preserve"> CVDL</w:t>
      </w:r>
      <w:r w:rsidRPr="00DD3A65">
        <w:t>に掲載されたからといって、その医薬品が現在不足している、あるいは今後不足する見込みであることを示すものでは</w:t>
      </w:r>
      <w:r>
        <w:rPr>
          <w:rFonts w:hint="eastAsia"/>
        </w:rPr>
        <w:t>ない</w:t>
      </w:r>
      <w:r w:rsidRPr="00DD3A65">
        <w:t>。</w:t>
      </w:r>
    </w:p>
    <w:p w14:paraId="115FD684" w14:textId="77777777" w:rsidR="00DD3A65" w:rsidRPr="00DD3A65" w:rsidRDefault="00DD3A65" w:rsidP="00DD3A65">
      <w:r w:rsidRPr="00DD3A65">
        <w:t>計画の詳細はこちら</w:t>
      </w:r>
    </w:p>
    <w:bookmarkStart w:id="0" w:name="_Hlk187940305"/>
    <w:p w14:paraId="24B5512F" w14:textId="48A9FACE" w:rsidR="00DD3A65" w:rsidRPr="00DD3A65" w:rsidRDefault="00DD3A65" w:rsidP="00DD3A65">
      <w:pPr>
        <w:numPr>
          <w:ilvl w:val="0"/>
          <w:numId w:val="9"/>
        </w:numPr>
      </w:pPr>
      <w:r>
        <w:fldChar w:fldCharType="begin"/>
      </w:r>
      <w:r>
        <w:instrText>HYPERLINK "https://www.canada.ca/en/health-canada/services/drugs-health-products/drug-products/drug-shortages/plan-2024-2028.html"</w:instrText>
      </w:r>
      <w:r>
        <w:fldChar w:fldCharType="separate"/>
      </w:r>
      <w:r w:rsidRPr="00DD3A65">
        <w:rPr>
          <w:rStyle w:val="a3"/>
        </w:rPr>
        <w:t>回復力の構築：</w:t>
      </w:r>
      <w:r w:rsidRPr="00DD3A65">
        <w:rPr>
          <w:rStyle w:val="a3"/>
        </w:rPr>
        <w:t xml:space="preserve"> </w:t>
      </w:r>
      <w:r w:rsidRPr="00DD3A65">
        <w:rPr>
          <w:rStyle w:val="a3"/>
        </w:rPr>
        <w:t>カナダ保健省の医療製品不足への対応計画</w:t>
      </w:r>
      <w:r>
        <w:fldChar w:fldCharType="end"/>
      </w:r>
      <w:r>
        <w:br/>
      </w:r>
      <w:r w:rsidRPr="00DD3A65">
        <w:rPr>
          <w:rFonts w:hint="eastAsia"/>
          <w:b/>
          <w:bCs/>
          <w:sz w:val="20"/>
          <w:szCs w:val="22"/>
        </w:rPr>
        <w:t>（注：</w:t>
      </w:r>
      <w:r w:rsidRPr="00DD3A65">
        <w:rPr>
          <w:rFonts w:hint="eastAsia"/>
          <w:b/>
          <w:bCs/>
          <w:sz w:val="20"/>
          <w:szCs w:val="22"/>
        </w:rPr>
        <w:t>2024</w:t>
      </w:r>
      <w:r w:rsidRPr="00DD3A65">
        <w:rPr>
          <w:rFonts w:hint="eastAsia"/>
          <w:b/>
          <w:bCs/>
          <w:sz w:val="20"/>
          <w:szCs w:val="22"/>
        </w:rPr>
        <w:t>年</w:t>
      </w:r>
      <w:r w:rsidRPr="00DD3A65">
        <w:rPr>
          <w:rFonts w:hint="eastAsia"/>
          <w:b/>
          <w:bCs/>
          <w:sz w:val="20"/>
          <w:szCs w:val="22"/>
        </w:rPr>
        <w:t>6</w:t>
      </w:r>
      <w:r w:rsidRPr="00DD3A65">
        <w:rPr>
          <w:rFonts w:hint="eastAsia"/>
          <w:b/>
          <w:bCs/>
          <w:sz w:val="20"/>
          <w:szCs w:val="22"/>
        </w:rPr>
        <w:t>月公開。カ</w:t>
      </w:r>
      <w:bookmarkStart w:id="1" w:name="_Hlk187940288"/>
      <w:r w:rsidRPr="00DD3A65">
        <w:rPr>
          <w:rFonts w:hint="eastAsia"/>
          <w:b/>
          <w:bCs/>
          <w:sz w:val="20"/>
          <w:szCs w:val="22"/>
        </w:rPr>
        <w:t>ナダ政府の医薬品不足対策</w:t>
      </w:r>
      <w:r>
        <w:rPr>
          <w:rFonts w:hint="eastAsia"/>
          <w:b/>
          <w:bCs/>
          <w:sz w:val="20"/>
          <w:szCs w:val="22"/>
        </w:rPr>
        <w:t>の</w:t>
      </w:r>
      <w:r w:rsidRPr="00DD3A65">
        <w:rPr>
          <w:rFonts w:hint="eastAsia"/>
          <w:b/>
          <w:bCs/>
          <w:sz w:val="20"/>
          <w:szCs w:val="22"/>
        </w:rPr>
        <w:t>詳細が記述され</w:t>
      </w:r>
      <w:bookmarkEnd w:id="1"/>
      <w:r w:rsidRPr="00DD3A65">
        <w:rPr>
          <w:rFonts w:hint="eastAsia"/>
          <w:b/>
          <w:bCs/>
          <w:sz w:val="20"/>
          <w:szCs w:val="22"/>
        </w:rPr>
        <w:t>ている。必読）</w:t>
      </w:r>
    </w:p>
    <w:bookmarkEnd w:id="0"/>
    <w:p w14:paraId="0B5C7E1F" w14:textId="77777777" w:rsidR="00DD3A65" w:rsidRPr="00DD3A65" w:rsidRDefault="00DD3A65" w:rsidP="00DD3A65">
      <w:pPr>
        <w:ind w:left="720"/>
      </w:pPr>
    </w:p>
    <w:p w14:paraId="13FC67AA" w14:textId="77777777" w:rsidR="00763624" w:rsidRPr="00763624" w:rsidRDefault="00763624" w:rsidP="00763624">
      <w:pPr>
        <w:rPr>
          <w:b/>
          <w:bCs/>
        </w:rPr>
      </w:pPr>
      <w:r w:rsidRPr="00763624">
        <w:rPr>
          <w:b/>
          <w:bCs/>
        </w:rPr>
        <w:t>リストの目的と用途</w:t>
      </w:r>
    </w:p>
    <w:p w14:paraId="55219FBA" w14:textId="77777777" w:rsidR="00763624" w:rsidRPr="00763624" w:rsidRDefault="00763624" w:rsidP="00763624">
      <w:r w:rsidRPr="00763624">
        <w:t>CVDL</w:t>
      </w:r>
      <w:r w:rsidRPr="00763624">
        <w:t>（案）は、</w:t>
      </w:r>
    </w:p>
    <w:p w14:paraId="05F97A8A" w14:textId="77777777" w:rsidR="00763624" w:rsidRPr="00763624" w:rsidRDefault="00763624" w:rsidP="00763624">
      <w:pPr>
        <w:numPr>
          <w:ilvl w:val="0"/>
          <w:numId w:val="17"/>
        </w:numPr>
      </w:pPr>
      <w:r w:rsidRPr="00763624">
        <w:t>市場承認取得者（</w:t>
      </w:r>
      <w:r w:rsidRPr="00763624">
        <w:t>MAH</w:t>
      </w:r>
      <w:r w:rsidRPr="00763624">
        <w:t>）が、自社の医薬品が不足防止・緩和計画（</w:t>
      </w:r>
      <w:r w:rsidRPr="00763624">
        <w:t>SPMP</w:t>
      </w:r>
      <w:r w:rsidRPr="00763624">
        <w:t>）の作成と維持に関する規制要件を満たしているかどうかを判断するための指針となることを目的としている。</w:t>
      </w:r>
    </w:p>
    <w:p w14:paraId="4EDEBD0D" w14:textId="77777777" w:rsidR="00763624" w:rsidRPr="00763624" w:rsidRDefault="00763624" w:rsidP="00763624">
      <w:pPr>
        <w:numPr>
          <w:ilvl w:val="0"/>
          <w:numId w:val="17"/>
        </w:numPr>
      </w:pPr>
      <w:r w:rsidRPr="00763624">
        <w:t>また、医薬品製造所免許（</w:t>
      </w:r>
      <w:r w:rsidRPr="00763624">
        <w:t>DEL</w:t>
      </w:r>
      <w:r w:rsidRPr="00763624">
        <w:t>）取得者が、</w:t>
      </w:r>
    </w:p>
    <w:p w14:paraId="5207690C" w14:textId="77777777" w:rsidR="00763624" w:rsidRDefault="00763624" w:rsidP="00763624">
      <w:pPr>
        <w:numPr>
          <w:ilvl w:val="1"/>
          <w:numId w:val="17"/>
        </w:numPr>
      </w:pPr>
      <w:r w:rsidRPr="00763624">
        <w:t>食品医薬品規則の改正案で定義されている通り、自社の医薬品が需要急増の報告義務の対象となるかどうかを判断する</w:t>
      </w:r>
    </w:p>
    <w:p w14:paraId="31C409F8" w14:textId="77777777" w:rsidR="00763624" w:rsidRPr="00763624" w:rsidRDefault="00763624" w:rsidP="00763624">
      <w:pPr>
        <w:ind w:left="1440"/>
        <w:rPr>
          <w:rFonts w:hint="eastAsia"/>
        </w:rPr>
      </w:pPr>
    </w:p>
    <w:p w14:paraId="0155DC96" w14:textId="77777777" w:rsidR="00763624" w:rsidRPr="00763624" w:rsidRDefault="00763624" w:rsidP="00763624">
      <w:pPr>
        <w:rPr>
          <w:b/>
          <w:bCs/>
        </w:rPr>
      </w:pPr>
      <w:r w:rsidRPr="00763624">
        <w:rPr>
          <w:b/>
          <w:bCs/>
        </w:rPr>
        <w:t>手助けにもなる。改正案</w:t>
      </w:r>
    </w:p>
    <w:p w14:paraId="55FC1732" w14:textId="77777777" w:rsidR="00763624" w:rsidRPr="00763624" w:rsidRDefault="00763624" w:rsidP="00763624">
      <w:r w:rsidRPr="00763624">
        <w:t>私たちは</w:t>
      </w:r>
      <w:hyperlink r:id="rId8" w:history="1">
        <w:r w:rsidRPr="00763624">
          <w:rPr>
            <w:rStyle w:val="a3"/>
          </w:rPr>
          <w:t>、医薬品規則</w:t>
        </w:r>
      </w:hyperlink>
      <w:r w:rsidRPr="00763624">
        <w:t>の変更を提案しており、これにより、</w:t>
      </w:r>
    </w:p>
    <w:p w14:paraId="4312B58D" w14:textId="77777777" w:rsidR="00763624" w:rsidRPr="00763624" w:rsidRDefault="00763624" w:rsidP="00763624">
      <w:pPr>
        <w:numPr>
          <w:ilvl w:val="0"/>
          <w:numId w:val="18"/>
        </w:numPr>
      </w:pPr>
      <w:r w:rsidRPr="00763624">
        <w:t>MAH</w:t>
      </w:r>
      <w:r w:rsidRPr="00763624">
        <w:t>は、品薄により人命に重大な危険をもたらす可能性のある医薬品すべてについて</w:t>
      </w:r>
      <w:r w:rsidRPr="00763624">
        <w:t>SPMP</w:t>
      </w:r>
      <w:r w:rsidRPr="00763624">
        <w:t>を完成させることが求められる。</w:t>
      </w:r>
    </w:p>
    <w:p w14:paraId="3FCBC61A" w14:textId="77777777" w:rsidR="00763624" w:rsidRPr="00763624" w:rsidRDefault="00763624" w:rsidP="00763624">
      <w:pPr>
        <w:numPr>
          <w:ilvl w:val="1"/>
          <w:numId w:val="18"/>
        </w:numPr>
      </w:pPr>
      <w:r w:rsidRPr="00763624">
        <w:t>また、</w:t>
      </w:r>
      <w:r w:rsidRPr="00763624">
        <w:t>DEL</w:t>
      </w:r>
      <w:r w:rsidRPr="00763624">
        <w:t>保有者にも、これらの医薬品について</w:t>
      </w:r>
      <w:r w:rsidRPr="00763624">
        <w:t>SPMP</w:t>
      </w:r>
      <w:r w:rsidRPr="00763624">
        <w:t>を維持することを推奨する。</w:t>
      </w:r>
    </w:p>
    <w:p w14:paraId="077BB229" w14:textId="77777777" w:rsidR="00763624" w:rsidRPr="00763624" w:rsidRDefault="00763624" w:rsidP="00763624">
      <w:pPr>
        <w:numPr>
          <w:ilvl w:val="0"/>
          <w:numId w:val="18"/>
        </w:numPr>
      </w:pPr>
      <w:r w:rsidRPr="00763624">
        <w:t>品薄により人命に重大な危険をもたらす可能性のある医薬品について需要急増を報告す</w:t>
      </w:r>
      <w:r w:rsidRPr="00763624">
        <w:lastRenderedPageBreak/>
        <w:t>る</w:t>
      </w:r>
      <w:r w:rsidRPr="00763624">
        <w:t>MAH</w:t>
      </w:r>
      <w:r w:rsidRPr="00763624">
        <w:t>ではない、医薬品の輸入業者または卸売業者である</w:t>
      </w:r>
      <w:r w:rsidRPr="00763624">
        <w:t>DEL</w:t>
      </w:r>
      <w:r w:rsidRPr="00763624">
        <w:t>保有者</w:t>
      </w:r>
    </w:p>
    <w:p w14:paraId="2F6E72C9" w14:textId="77777777" w:rsidR="00763624" w:rsidRPr="00763624" w:rsidRDefault="00763624" w:rsidP="00763624">
      <w:r w:rsidRPr="00763624">
        <w:t>詳細情報：</w:t>
      </w:r>
    </w:p>
    <w:p w14:paraId="3B366315" w14:textId="77777777" w:rsidR="00763624" w:rsidRPr="00763624" w:rsidRDefault="00763624" w:rsidP="00763624">
      <w:pPr>
        <w:numPr>
          <w:ilvl w:val="0"/>
          <w:numId w:val="19"/>
        </w:numPr>
      </w:pPr>
      <w:hyperlink r:id="rId9" w:history="1">
        <w:r w:rsidRPr="00763624">
          <w:rPr>
            <w:rStyle w:val="a3"/>
          </w:rPr>
          <w:t>相談用草案：品薄防止および緩和計画ガイド</w:t>
        </w:r>
      </w:hyperlink>
    </w:p>
    <w:p w14:paraId="30840335" w14:textId="77777777" w:rsidR="00763624" w:rsidRPr="00763624" w:rsidRDefault="00763624" w:rsidP="00763624">
      <w:pPr>
        <w:numPr>
          <w:ilvl w:val="1"/>
          <w:numId w:val="19"/>
        </w:numPr>
      </w:pPr>
      <w:r w:rsidRPr="00763624">
        <w:t>SPMP</w:t>
      </w:r>
      <w:r w:rsidRPr="00763624">
        <w:t>作成時に考慮すべきリスク要因の一覧と詳細情報を提供</w:t>
      </w:r>
    </w:p>
    <w:p w14:paraId="537BD548" w14:textId="77777777" w:rsidR="00763624" w:rsidRPr="00763624" w:rsidRDefault="00763624" w:rsidP="00763624">
      <w:pPr>
        <w:numPr>
          <w:ilvl w:val="0"/>
          <w:numId w:val="19"/>
        </w:numPr>
      </w:pPr>
      <w:hyperlink r:id="rId10" w:history="1">
        <w:r w:rsidRPr="00763624">
          <w:rPr>
            <w:rStyle w:val="a3"/>
          </w:rPr>
          <w:t>相談用草案：医薬品需要急増報告ガイド</w:t>
        </w:r>
      </w:hyperlink>
    </w:p>
    <w:p w14:paraId="50B1FA81" w14:textId="77777777" w:rsidR="00763624" w:rsidRPr="00763624" w:rsidRDefault="00763624" w:rsidP="00763624">
      <w:pPr>
        <w:numPr>
          <w:ilvl w:val="1"/>
          <w:numId w:val="19"/>
        </w:numPr>
      </w:pPr>
      <w:r w:rsidRPr="00763624">
        <w:t>医薬品を輸入または卸売する</w:t>
      </w:r>
      <w:r w:rsidRPr="00763624">
        <w:t>DEL</w:t>
      </w:r>
      <w:r w:rsidRPr="00763624">
        <w:t>保持者が報告を義務付けられる状況と詳細情報を提供</w:t>
      </w:r>
    </w:p>
    <w:p w14:paraId="56E40E6A" w14:textId="77777777" w:rsidR="00763624" w:rsidRPr="00763624" w:rsidRDefault="00763624" w:rsidP="00763624">
      <w:r w:rsidRPr="00763624">
        <w:t>カナダ保健省は、品薄状態による深刻な健康被害のリスクを、品薄状態による治療の中断、不足、遅延が健康に深刻な被害をもたらす可能性と解釈している。</w:t>
      </w:r>
    </w:p>
    <w:p w14:paraId="0609D366" w14:textId="77777777" w:rsidR="00763624" w:rsidRPr="00763624" w:rsidRDefault="00763624" w:rsidP="00763624">
      <w:r w:rsidRPr="00763624">
        <w:t>品薄状態による治療の中断、不足、遅延による被害の深刻さを判断する要素には、以下のような被害が含まれる。</w:t>
      </w:r>
    </w:p>
    <w:p w14:paraId="41FFB032" w14:textId="77777777" w:rsidR="00763624" w:rsidRPr="00763624" w:rsidRDefault="00763624" w:rsidP="00763624">
      <w:pPr>
        <w:numPr>
          <w:ilvl w:val="0"/>
          <w:numId w:val="20"/>
        </w:numPr>
      </w:pPr>
      <w:r w:rsidRPr="00763624">
        <w:t>死亡に至る</w:t>
      </w:r>
    </w:p>
    <w:p w14:paraId="0917343A" w14:textId="77777777" w:rsidR="00763624" w:rsidRPr="00763624" w:rsidRDefault="00763624" w:rsidP="00763624">
      <w:pPr>
        <w:numPr>
          <w:ilvl w:val="0"/>
          <w:numId w:val="20"/>
        </w:numPr>
      </w:pPr>
      <w:r w:rsidRPr="00763624">
        <w:t>生命を脅かす</w:t>
      </w:r>
    </w:p>
    <w:p w14:paraId="5A3B422D" w14:textId="77777777" w:rsidR="00763624" w:rsidRPr="00763624" w:rsidRDefault="00763624" w:rsidP="00763624">
      <w:pPr>
        <w:numPr>
          <w:ilvl w:val="0"/>
          <w:numId w:val="20"/>
        </w:numPr>
      </w:pPr>
      <w:r w:rsidRPr="00763624">
        <w:t>入院が必要となる、または入院期間が延長される</w:t>
      </w:r>
    </w:p>
    <w:p w14:paraId="2E669F86" w14:textId="77777777" w:rsidR="00763624" w:rsidRPr="00763624" w:rsidRDefault="00763624" w:rsidP="00763624">
      <w:pPr>
        <w:numPr>
          <w:ilvl w:val="0"/>
          <w:numId w:val="20"/>
        </w:numPr>
      </w:pPr>
      <w:r w:rsidRPr="00763624">
        <w:t>持続的または重大な障害または機能不全をもたらす</w:t>
      </w:r>
    </w:p>
    <w:p w14:paraId="3202B617" w14:textId="77777777" w:rsidR="00763624" w:rsidRDefault="00763624" w:rsidP="00763624">
      <w:r w:rsidRPr="00763624">
        <w:t>MAH</w:t>
      </w:r>
      <w:r w:rsidRPr="00763624">
        <w:t>または</w:t>
      </w:r>
      <w:r w:rsidRPr="00763624">
        <w:t>DEL</w:t>
      </w:r>
      <w:r w:rsidRPr="00763624">
        <w:t>保持者として、貴社の医薬品に不足が生じた場合に、人々の健康に重大な危害が及ぶ深刻なリスクが生じる可能性があるかどうかを判断しなければならない。</w:t>
      </w:r>
      <w:r w:rsidRPr="00763624">
        <w:t>CVDL</w:t>
      </w:r>
      <w:r w:rsidRPr="00763624">
        <w:t>には、医薬品に不足が生じた場合に、人々の健康に重大な危害が及ぶ深刻なリスクが生じる可能性がある医薬品が含まれている。貴社が製造、輸入、または卸売する医薬品について、</w:t>
      </w:r>
      <w:r w:rsidRPr="00763624">
        <w:t>SPMP</w:t>
      </w:r>
      <w:r w:rsidRPr="00763624">
        <w:t>または需要急増報告が必要かどうかを判断する際に、</w:t>
      </w:r>
      <w:r w:rsidRPr="00763624">
        <w:t>CVDL</w:t>
      </w:r>
      <w:r w:rsidRPr="00763624">
        <w:t>を活用すること。</w:t>
      </w:r>
    </w:p>
    <w:p w14:paraId="698F5656" w14:textId="77777777" w:rsidR="00763624" w:rsidRPr="00763624" w:rsidRDefault="00763624" w:rsidP="00763624">
      <w:pPr>
        <w:rPr>
          <w:rFonts w:hint="eastAsia"/>
        </w:rPr>
      </w:pPr>
    </w:p>
    <w:p w14:paraId="2D10651A" w14:textId="77777777" w:rsidR="00763624" w:rsidRPr="00763624" w:rsidRDefault="00763624" w:rsidP="00763624">
      <w:pPr>
        <w:rPr>
          <w:b/>
          <w:bCs/>
        </w:rPr>
      </w:pPr>
      <w:r w:rsidRPr="00763624">
        <w:rPr>
          <w:b/>
          <w:bCs/>
        </w:rPr>
        <w:t>原案リストの作成に使用された方法</w:t>
      </w:r>
    </w:p>
    <w:p w14:paraId="69035AA1" w14:textId="77777777" w:rsidR="00763624" w:rsidRPr="00763624" w:rsidRDefault="00763624" w:rsidP="00763624">
      <w:r w:rsidRPr="00763624">
        <w:t>CVDL</w:t>
      </w:r>
      <w:r w:rsidRPr="00763624">
        <w:t>の原案を作成するにあたり、系統的なプロセスを採用した。まず、</w:t>
      </w:r>
      <w:r w:rsidRPr="00763624">
        <w:fldChar w:fldCharType="begin"/>
      </w:r>
      <w:r w:rsidRPr="00763624">
        <w:instrText>HYPERLINK "https://odprn.ca/drug-shortages-initiative-project/"</w:instrText>
      </w:r>
      <w:r w:rsidRPr="00763624">
        <w:fldChar w:fldCharType="separate"/>
      </w:r>
      <w:r w:rsidRPr="00763624">
        <w:rPr>
          <w:rStyle w:val="a3"/>
        </w:rPr>
        <w:t>At-Risk Medicines</w:t>
      </w:r>
      <w:r w:rsidRPr="00763624">
        <w:rPr>
          <w:rStyle w:val="a3"/>
        </w:rPr>
        <w:t>プロジェクト</w:t>
      </w:r>
      <w:r w:rsidRPr="00763624">
        <w:fldChar w:fldCharType="end"/>
      </w:r>
      <w:r w:rsidRPr="00763624">
        <w:t>の一環として作成されたツールを使用し、その後、いくつかの検証ステップを行った。</w:t>
      </w:r>
    </w:p>
    <w:p w14:paraId="40B8B791" w14:textId="77777777" w:rsidR="00763624" w:rsidRPr="00763624" w:rsidRDefault="00763624" w:rsidP="00763624">
      <w:r w:rsidRPr="00763624">
        <w:t>At-Risk Medicines</w:t>
      </w:r>
      <w:r w:rsidRPr="00763624">
        <w:t>プロジェクトは、トロント大学が主導するカナダの学際的研究プロジェクトである。このプロジェクトは、</w:t>
      </w:r>
      <w:r w:rsidRPr="00763624">
        <w:fldChar w:fldCharType="begin"/>
      </w:r>
      <w:r w:rsidRPr="00763624">
        <w:instrText>HYPERLINK "https://cihr-irsc.gc.ca/e/193.html"</w:instrText>
      </w:r>
      <w:r w:rsidRPr="00763624">
        <w:fldChar w:fldCharType="separate"/>
      </w:r>
      <w:r w:rsidRPr="00763624">
        <w:rPr>
          <w:rStyle w:val="a3"/>
        </w:rPr>
        <w:t>カナダ保健研究機構（</w:t>
      </w:r>
      <w:r w:rsidRPr="00763624">
        <w:rPr>
          <w:rStyle w:val="a3"/>
        </w:rPr>
        <w:t>CIHR</w:t>
      </w:r>
      <w:r w:rsidRPr="00763624">
        <w:rPr>
          <w:rStyle w:val="a3"/>
        </w:rPr>
        <w:t>）</w:t>
      </w:r>
      <w:r w:rsidRPr="00763624">
        <w:fldChar w:fldCharType="end"/>
      </w:r>
      <w:r w:rsidRPr="00763624">
        <w:t>の資金提供を受け、</w:t>
      </w:r>
      <w:r w:rsidRPr="00763624">
        <w:fldChar w:fldCharType="begin"/>
      </w:r>
      <w:r w:rsidRPr="00763624">
        <w:instrText>HYPERLINK "https://www.cda-amc.ca/"</w:instrText>
      </w:r>
      <w:r w:rsidRPr="00763624">
        <w:fldChar w:fldCharType="separate"/>
      </w:r>
      <w:r w:rsidRPr="00763624">
        <w:rPr>
          <w:rStyle w:val="a3"/>
        </w:rPr>
        <w:t>カナダ医薬品庁</w:t>
      </w:r>
      <w:r w:rsidRPr="00763624">
        <w:fldChar w:fldCharType="end"/>
      </w:r>
      <w:r w:rsidRPr="00763624">
        <w:t>が後援している。カナダ保健省はオブザーバーとして参加し、研究チームに方法論に関する助言を提供した。</w:t>
      </w:r>
    </w:p>
    <w:p w14:paraId="096710CB" w14:textId="77777777" w:rsidR="00763624" w:rsidRPr="00763624" w:rsidRDefault="00763624" w:rsidP="00763624">
      <w:r w:rsidRPr="00763624">
        <w:t>プロジェクトの研究チームは、医薬品の臨床的重要性と品薄に対する脆弱性を評価するためのリスクフレームワークとリスク評価ツールを開発した。フレームワークの開発には、以下の作業が含まれた。</w:t>
      </w:r>
    </w:p>
    <w:p w14:paraId="51FBEA6D" w14:textId="77777777" w:rsidR="00763624" w:rsidRPr="00763624" w:rsidRDefault="00763624" w:rsidP="00763624">
      <w:pPr>
        <w:numPr>
          <w:ilvl w:val="0"/>
          <w:numId w:val="21"/>
        </w:numPr>
      </w:pPr>
      <w:r w:rsidRPr="00763624">
        <w:t>独立した臨床医による専門家のレビュー</w:t>
      </w:r>
    </w:p>
    <w:p w14:paraId="485D37A8" w14:textId="77777777" w:rsidR="00763624" w:rsidRPr="00763624" w:rsidRDefault="00763624" w:rsidP="00763624">
      <w:pPr>
        <w:numPr>
          <w:ilvl w:val="0"/>
          <w:numId w:val="21"/>
        </w:numPr>
      </w:pPr>
      <w:r w:rsidRPr="00763624">
        <w:t>カナダの状況を考慮</w:t>
      </w:r>
    </w:p>
    <w:p w14:paraId="3B2CFCA0" w14:textId="77777777" w:rsidR="00763624" w:rsidRPr="00763624" w:rsidRDefault="00763624" w:rsidP="00763624">
      <w:pPr>
        <w:numPr>
          <w:ilvl w:val="0"/>
          <w:numId w:val="21"/>
        </w:numPr>
      </w:pPr>
      <w:r w:rsidRPr="00763624">
        <w:lastRenderedPageBreak/>
        <w:t>臨床医、政策立案者、業界関係者からなる専門家パネルとの協力</w:t>
      </w:r>
    </w:p>
    <w:p w14:paraId="47E462BC" w14:textId="77777777" w:rsidR="00763624" w:rsidRPr="00763624" w:rsidRDefault="00763624" w:rsidP="00763624">
      <w:r w:rsidRPr="00763624">
        <w:t>プロジェクトの一環として、独立した審査員がリスク評価ツールを使用して、</w:t>
      </w:r>
      <w:r w:rsidRPr="00763624">
        <w:t>1,650</w:t>
      </w:r>
      <w:r w:rsidRPr="00763624">
        <w:t>品目の医薬品について臨床的重要性と品薄に対する脆弱性を評価した。この文脈では、医薬品は医薬品成分と投与経路として表された。</w:t>
      </w:r>
    </w:p>
    <w:p w14:paraId="1FACB39F" w14:textId="77777777" w:rsidR="00763624" w:rsidRPr="00763624" w:rsidRDefault="00763624" w:rsidP="00763624">
      <w:r w:rsidRPr="00763624">
        <w:t>プロジェクトの枠組みでは、プロジェクトチームとパネルメンバーを含むプロジェクトの全手法の説明が提供されている。</w:t>
      </w:r>
    </w:p>
    <w:p w14:paraId="3F738EC3" w14:textId="77777777" w:rsidR="00763624" w:rsidRPr="00763624" w:rsidRDefault="00763624" w:rsidP="00763624">
      <w:r w:rsidRPr="00763624">
        <w:t>CVDL</w:t>
      </w:r>
      <w:r w:rsidRPr="00763624">
        <w:t>（</w:t>
      </w:r>
      <w:r w:rsidRPr="00763624">
        <w:t>Clinical Vulnerability Scoring Tool</w:t>
      </w:r>
      <w:r w:rsidRPr="00763624">
        <w:t>）の草案を作成し、検証するために、カナダ保健省はまず、臨床的重要性スコアが百分位数の</w:t>
      </w:r>
      <w:r w:rsidRPr="00763624">
        <w:t>75</w:t>
      </w:r>
      <w:r w:rsidRPr="00763624">
        <w:t>パーセンタイルを超える医薬品、および</w:t>
      </w:r>
      <w:r w:rsidRPr="00763624">
        <w:fldChar w:fldCharType="begin"/>
      </w:r>
      <w:r w:rsidRPr="00763624">
        <w:instrText>HYPERLINK "https://www.canada.ca/en/health-canada/services/drugs-health-products/drug-products/drug-shortages/regulations-guidance/critical-vulnerable-list.html" \l "a6"</w:instrText>
      </w:r>
      <w:r w:rsidRPr="00763624">
        <w:fldChar w:fldCharType="separate"/>
      </w:r>
      <w:r w:rsidRPr="00763624">
        <w:rPr>
          <w:rStyle w:val="a3"/>
        </w:rPr>
        <w:t>類似のリストに記載されている国際的な規制</w:t>
      </w:r>
      <w:r w:rsidRPr="00763624">
        <w:fldChar w:fldCharType="end"/>
      </w:r>
      <w:r w:rsidRPr="00763624">
        <w:t>当局の医薬品をリストに含めた。次に、カナダ保健省の医薬品不足事例管理および臨床実務の専門家と、外部の</w:t>
      </w:r>
      <w:r w:rsidRPr="00763624">
        <w:t>At-Risk Medicines</w:t>
      </w:r>
      <w:r w:rsidRPr="00763624">
        <w:t>プロジェクトチームのメンバーがリストを精査した。彼らは、</w:t>
      </w:r>
      <w:r w:rsidRPr="00763624">
        <w:t>At-Risk Medicines</w:t>
      </w:r>
      <w:r w:rsidRPr="00763624">
        <w:t>プロジェクトのスコアリングツールのパラメータとカナダの状況を考慮した。</w:t>
      </w:r>
      <w:r w:rsidRPr="00763624">
        <w:t>CVDL</w:t>
      </w:r>
      <w:r w:rsidRPr="00763624">
        <w:t>（医薬品脆弱性指標）ドラフト版に記載された医薬品については、</w:t>
      </w:r>
      <w:r w:rsidRPr="00763624">
        <w:t>ARM</w:t>
      </w:r>
      <w:r w:rsidRPr="00763624">
        <w:t>プロジェクトの脆弱性閾値（</w:t>
      </w:r>
      <w:r w:rsidRPr="00763624">
        <w:t>10%</w:t>
      </w:r>
      <w:r w:rsidRPr="00763624">
        <w:t>超）を用いて、品薄に対する脆弱性についてさらに検討した。</w:t>
      </w:r>
    </w:p>
    <w:p w14:paraId="4F38AAED" w14:textId="77777777" w:rsidR="00763624" w:rsidRDefault="00763624" w:rsidP="00763624">
      <w:r w:rsidRPr="00763624">
        <w:t>カナダ市場に新たに参入する医薬品を考慮するなど、臨床的重要性および品薄に対する脆弱性の評価がカナダの状況に適合し続けるよう、随時、リストを更新していく予定である。</w:t>
      </w:r>
    </w:p>
    <w:p w14:paraId="25D32B88" w14:textId="77777777" w:rsidR="00763624" w:rsidRPr="00763624" w:rsidRDefault="00763624" w:rsidP="00763624">
      <w:pPr>
        <w:rPr>
          <w:rFonts w:hint="eastAsia"/>
        </w:rPr>
      </w:pPr>
    </w:p>
    <w:p w14:paraId="4C022901" w14:textId="77777777" w:rsidR="00763624" w:rsidRPr="00763624" w:rsidRDefault="00763624" w:rsidP="00763624">
      <w:pPr>
        <w:rPr>
          <w:b/>
          <w:bCs/>
        </w:rPr>
      </w:pPr>
      <w:r w:rsidRPr="00763624">
        <w:rPr>
          <w:b/>
          <w:bCs/>
        </w:rPr>
        <w:t>ドラフト版リストおよび方法論に関するフィードバックの提供方法</w:t>
      </w:r>
    </w:p>
    <w:p w14:paraId="09EBDC37" w14:textId="77777777" w:rsidR="00763624" w:rsidRPr="00763624" w:rsidRDefault="00763624" w:rsidP="00763624">
      <w:r w:rsidRPr="00763624">
        <w:t>CVDL</w:t>
      </w:r>
      <w:r w:rsidRPr="00763624">
        <w:t>草案およびその作成に使用された方法論に関するフィードバックは、</w:t>
      </w:r>
      <w:r w:rsidRPr="00763624">
        <w:t>CVDL</w:t>
      </w:r>
      <w:r w:rsidRPr="00763624">
        <w:t>質問票を使用して提出すること。質問票は</w:t>
      </w:r>
      <w:r w:rsidRPr="00763624">
        <w:t>2025</w:t>
      </w:r>
      <w:r w:rsidRPr="00763624">
        <w:t>年</w:t>
      </w:r>
      <w:r w:rsidRPr="00763624">
        <w:t>1</w:t>
      </w:r>
      <w:r w:rsidRPr="00763624">
        <w:t>月</w:t>
      </w:r>
      <w:r w:rsidRPr="00763624">
        <w:t>6</w:t>
      </w:r>
      <w:r w:rsidRPr="00763624">
        <w:t>日から</w:t>
      </w:r>
      <w:r w:rsidRPr="00763624">
        <w:t>3</w:t>
      </w:r>
      <w:r w:rsidRPr="00763624">
        <w:t>月</w:t>
      </w:r>
      <w:r w:rsidRPr="00763624">
        <w:t>8</w:t>
      </w:r>
      <w:r w:rsidRPr="00763624">
        <w:t>日まで利用可能である。</w:t>
      </w:r>
    </w:p>
    <w:p w14:paraId="386BDD15" w14:textId="77777777" w:rsidR="00763624" w:rsidRPr="00763624" w:rsidRDefault="00763624" w:rsidP="00763624">
      <w:hyperlink r:id="rId11" w:history="1">
        <w:r w:rsidRPr="00763624">
          <w:rPr>
            <w:rStyle w:val="a3"/>
          </w:rPr>
          <w:t>CVDL</w:t>
        </w:r>
        <w:r w:rsidRPr="00763624">
          <w:rPr>
            <w:rStyle w:val="a3"/>
          </w:rPr>
          <w:t>質問票</w:t>
        </w:r>
      </w:hyperlink>
    </w:p>
    <w:p w14:paraId="1D0D43D3" w14:textId="77777777" w:rsidR="00763624" w:rsidRDefault="00763624" w:rsidP="00763624">
      <w:r w:rsidRPr="00763624">
        <w:t>質問票を別の形式で受け取りたい場合は、</w:t>
      </w:r>
      <w:r w:rsidRPr="00763624">
        <w:fldChar w:fldCharType="begin"/>
      </w:r>
      <w:r w:rsidRPr="00763624">
        <w:instrText>HYPERLINK "mailto:hpsdpdcorr-corrdgppsdp@hc-sc.gc.ca"</w:instrText>
      </w:r>
      <w:r w:rsidRPr="00763624">
        <w:fldChar w:fldCharType="separate"/>
      </w:r>
      <w:r w:rsidRPr="00763624">
        <w:rPr>
          <w:rStyle w:val="a3"/>
        </w:rPr>
        <w:t>hpsdpdcorr-corrdgppsdp@hc-sc.gc.ca</w:t>
      </w:r>
      <w:r w:rsidRPr="00763624">
        <w:fldChar w:fldCharType="end"/>
      </w:r>
      <w:r w:rsidRPr="00763624">
        <w:t>宛てに電子メールで連絡すること。</w:t>
      </w:r>
    </w:p>
    <w:p w14:paraId="120964FC" w14:textId="77777777" w:rsidR="00763624" w:rsidRPr="00763624" w:rsidRDefault="00763624" w:rsidP="00763624">
      <w:pPr>
        <w:rPr>
          <w:rFonts w:hint="eastAsia"/>
        </w:rPr>
      </w:pPr>
    </w:p>
    <w:p w14:paraId="20EFBD49" w14:textId="77777777" w:rsidR="00763624" w:rsidRPr="00763624" w:rsidRDefault="00763624" w:rsidP="00763624">
      <w:pPr>
        <w:rPr>
          <w:b/>
          <w:bCs/>
        </w:rPr>
      </w:pPr>
      <w:r w:rsidRPr="00763624">
        <w:rPr>
          <w:b/>
          <w:bCs/>
        </w:rPr>
        <w:t>今後の予定</w:t>
      </w:r>
    </w:p>
    <w:p w14:paraId="283D65E0" w14:textId="77777777" w:rsidR="00763624" w:rsidRDefault="00763624" w:rsidP="00763624">
      <w:r w:rsidRPr="00763624">
        <w:t>CVDL</w:t>
      </w:r>
      <w:r w:rsidRPr="00763624">
        <w:t>草案に関する協議のフィードバックを収集・分析し、削除または追加が推奨される医薬品を含める。最終的な</w:t>
      </w:r>
      <w:r w:rsidRPr="00763624">
        <w:t>CVDL</w:t>
      </w:r>
      <w:r w:rsidRPr="00763624">
        <w:t>は、今後の最終的な改正と同時に、規制プロセスに従って公表される。</w:t>
      </w:r>
    </w:p>
    <w:p w14:paraId="31E0ED15" w14:textId="77777777" w:rsidR="00763624" w:rsidRPr="00763624" w:rsidRDefault="00763624" w:rsidP="00763624">
      <w:pPr>
        <w:rPr>
          <w:rFonts w:hint="eastAsia"/>
        </w:rPr>
      </w:pPr>
    </w:p>
    <w:p w14:paraId="5679F95F" w14:textId="77777777" w:rsidR="00763624" w:rsidRPr="00763624" w:rsidRDefault="00763624" w:rsidP="00763624">
      <w:pPr>
        <w:rPr>
          <w:b/>
          <w:bCs/>
        </w:rPr>
      </w:pPr>
      <w:r w:rsidRPr="00763624">
        <w:rPr>
          <w:b/>
          <w:bCs/>
        </w:rPr>
        <w:t>関連リンク</w:t>
      </w:r>
    </w:p>
    <w:p w14:paraId="206097CB" w14:textId="77777777" w:rsidR="00763624" w:rsidRPr="00763624" w:rsidRDefault="00763624" w:rsidP="00763624">
      <w:pPr>
        <w:numPr>
          <w:ilvl w:val="0"/>
          <w:numId w:val="22"/>
        </w:numPr>
      </w:pPr>
      <w:hyperlink r:id="rId12" w:history="1">
        <w:r w:rsidRPr="00763624">
          <w:rPr>
            <w:rStyle w:val="a3"/>
          </w:rPr>
          <w:t>フランスの保健・医療アクセス省（</w:t>
        </w:r>
        <w:r w:rsidRPr="00763624">
          <w:rPr>
            <w:rStyle w:val="a3"/>
          </w:rPr>
          <w:t>Ministère de la santé et de L'accès aux soins</w:t>
        </w:r>
        <w:r w:rsidRPr="00763624">
          <w:rPr>
            <w:rStyle w:val="a3"/>
          </w:rPr>
          <w:t>）</w:t>
        </w:r>
        <w:r w:rsidRPr="00763624">
          <w:rPr>
            <w:rStyle w:val="a3"/>
          </w:rPr>
          <w:t xml:space="preserve"> </w:t>
        </w:r>
        <w:r w:rsidRPr="00763624">
          <w:rPr>
            <w:rStyle w:val="a3"/>
          </w:rPr>
          <w:t>必須医薬品リスト</w:t>
        </w:r>
      </w:hyperlink>
    </w:p>
    <w:p w14:paraId="34ABF7E6" w14:textId="77777777" w:rsidR="00763624" w:rsidRPr="00763624" w:rsidRDefault="00763624" w:rsidP="00763624">
      <w:pPr>
        <w:numPr>
          <w:ilvl w:val="0"/>
          <w:numId w:val="22"/>
        </w:numPr>
      </w:pPr>
      <w:hyperlink r:id="rId13" w:history="1">
        <w:r w:rsidRPr="00763624">
          <w:rPr>
            <w:rStyle w:val="a3"/>
          </w:rPr>
          <w:t>欧州医薬品庁（</w:t>
        </w:r>
        <w:r w:rsidRPr="00763624">
          <w:rPr>
            <w:rStyle w:val="a3"/>
          </w:rPr>
          <w:t>EMA</w:t>
        </w:r>
        <w:r w:rsidRPr="00763624">
          <w:rPr>
            <w:rStyle w:val="a3"/>
          </w:rPr>
          <w:t>）および欧州委員会</w:t>
        </w:r>
        <w:r w:rsidRPr="00763624">
          <w:rPr>
            <w:rStyle w:val="a3"/>
          </w:rPr>
          <w:t xml:space="preserve"> </w:t>
        </w:r>
        <w:r w:rsidRPr="00763624">
          <w:rPr>
            <w:rStyle w:val="a3"/>
          </w:rPr>
          <w:t>第一次必須医薬品リスト</w:t>
        </w:r>
      </w:hyperlink>
    </w:p>
    <w:p w14:paraId="44521263" w14:textId="77777777" w:rsidR="00763624" w:rsidRPr="00763624" w:rsidRDefault="00763624" w:rsidP="00763624">
      <w:pPr>
        <w:numPr>
          <w:ilvl w:val="0"/>
          <w:numId w:val="22"/>
        </w:numPr>
      </w:pPr>
      <w:hyperlink r:id="rId14" w:history="1">
        <w:r w:rsidRPr="00763624">
          <w:rPr>
            <w:rStyle w:val="a3"/>
          </w:rPr>
          <w:t>オーストラリアの医薬品行政局（</w:t>
        </w:r>
        <w:r w:rsidRPr="00763624">
          <w:rPr>
            <w:rStyle w:val="a3"/>
          </w:rPr>
          <w:t>TGA</w:t>
        </w:r>
        <w:r w:rsidRPr="00763624">
          <w:rPr>
            <w:rStyle w:val="a3"/>
          </w:rPr>
          <w:t>）の治療用医薬品（医薬品監視リスト）決定</w:t>
        </w:r>
        <w:r w:rsidRPr="00763624">
          <w:rPr>
            <w:rStyle w:val="a3"/>
          </w:rPr>
          <w:t>2018</w:t>
        </w:r>
      </w:hyperlink>
    </w:p>
    <w:p w14:paraId="1B984605" w14:textId="77777777" w:rsidR="00763624" w:rsidRPr="00763624" w:rsidRDefault="00763624" w:rsidP="00763624">
      <w:pPr>
        <w:numPr>
          <w:ilvl w:val="0"/>
          <w:numId w:val="22"/>
        </w:numPr>
      </w:pPr>
      <w:hyperlink r:id="rId15" w:history="1">
        <w:r w:rsidRPr="00763624">
          <w:rPr>
            <w:rStyle w:val="a3"/>
          </w:rPr>
          <w:t>米国食品医薬品局（</w:t>
        </w:r>
        <w:r w:rsidRPr="00763624">
          <w:rPr>
            <w:rStyle w:val="a3"/>
          </w:rPr>
          <w:t>FDA</w:t>
        </w:r>
        <w:r w:rsidRPr="00763624">
          <w:rPr>
            <w:rStyle w:val="a3"/>
          </w:rPr>
          <w:t>）必須医薬品、医療対策、および重要材料のリスト</w:t>
        </w:r>
      </w:hyperlink>
    </w:p>
    <w:p w14:paraId="3BC2F06E" w14:textId="033C34C9" w:rsidR="00763624" w:rsidRPr="00763624" w:rsidRDefault="00763624" w:rsidP="00763624">
      <w:pPr>
        <w:rPr>
          <w:b/>
          <w:bCs/>
        </w:rPr>
      </w:pPr>
      <w:r w:rsidRPr="00763624">
        <w:rPr>
          <w:b/>
          <w:bCs/>
        </w:rPr>
        <w:lastRenderedPageBreak/>
        <w:t>CVDL</w:t>
      </w:r>
      <w:r w:rsidRPr="00763624">
        <w:rPr>
          <w:b/>
          <w:bCs/>
        </w:rPr>
        <w:t>（暫定版</w:t>
      </w:r>
      <w:r>
        <w:rPr>
          <w:rFonts w:hint="eastAsia"/>
          <w:b/>
          <w:bCs/>
        </w:rPr>
        <w:t>）</w:t>
      </w:r>
    </w:p>
    <w:p w14:paraId="408E71CB" w14:textId="77777777" w:rsidR="00763624" w:rsidRPr="00763624" w:rsidRDefault="00763624" w:rsidP="00763624">
      <w:r w:rsidRPr="00763624">
        <w:t>以下の表は、</w:t>
      </w:r>
      <w:r w:rsidRPr="00763624">
        <w:t>CVDL</w:t>
      </w:r>
      <w:r w:rsidRPr="00763624">
        <w:t>（暫定版）の医薬品リストである。カナダ保健省は、これらが不足すると人々の健康に深刻な被害をもたらす可能性のある医薬品であると見なしている。</w:t>
      </w:r>
    </w:p>
    <w:p w14:paraId="33B05DAD" w14:textId="77777777" w:rsidR="00763624" w:rsidRPr="00763624" w:rsidRDefault="00763624" w:rsidP="00763624">
      <w:r w:rsidRPr="00763624">
        <w:t>医薬品は、成分または説明ごとにアルファベット順にリストされている。各医薬品について、投与経路が示されている。</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142"/>
        <w:gridCol w:w="1928"/>
      </w:tblGrid>
      <w:tr w:rsidR="00763624" w:rsidRPr="00763624" w14:paraId="1E81E5EC" w14:textId="77777777" w:rsidTr="00763624">
        <w:trPr>
          <w:tblHeader/>
        </w:trPr>
        <w:tc>
          <w:tcPr>
            <w:tcW w:w="5000" w:type="pct"/>
            <w:gridSpan w:val="2"/>
            <w:tcBorders>
              <w:top w:val="nil"/>
              <w:left w:val="nil"/>
              <w:bottom w:val="nil"/>
              <w:right w:val="nil"/>
            </w:tcBorders>
            <w:shd w:val="clear" w:color="auto" w:fill="2572B4"/>
            <w:tcMar>
              <w:top w:w="75" w:type="dxa"/>
              <w:left w:w="75" w:type="dxa"/>
              <w:bottom w:w="75" w:type="dxa"/>
              <w:right w:w="75" w:type="dxa"/>
            </w:tcMar>
            <w:vAlign w:val="center"/>
            <w:hideMark/>
          </w:tcPr>
          <w:p w14:paraId="4120B30E" w14:textId="77777777" w:rsidR="00763624" w:rsidRPr="00763624" w:rsidRDefault="00763624" w:rsidP="00763624">
            <w:pPr>
              <w:snapToGrid w:val="0"/>
              <w:spacing w:after="0" w:line="160" w:lineRule="atLeast"/>
              <w:rPr>
                <w:b/>
                <w:bCs/>
                <w:color w:val="FFFFFF" w:themeColor="background1"/>
              </w:rPr>
            </w:pPr>
            <w:r w:rsidRPr="00763624">
              <w:rPr>
                <w:b/>
                <w:bCs/>
                <w:color w:val="FFFFFF" w:themeColor="background1"/>
              </w:rPr>
              <w:t>Drugs included are for human use.</w:t>
            </w:r>
          </w:p>
        </w:tc>
      </w:tr>
      <w:tr w:rsidR="00763624" w:rsidRPr="00763624" w14:paraId="23B79F3E" w14:textId="77777777" w:rsidTr="00763624">
        <w:trPr>
          <w:tblHeader/>
        </w:trPr>
        <w:tc>
          <w:tcPr>
            <w:tcW w:w="3937" w:type="pct"/>
            <w:tcBorders>
              <w:top w:val="nil"/>
              <w:left w:val="single" w:sz="6" w:space="0" w:color="DDDDDD"/>
              <w:bottom w:val="single" w:sz="12" w:space="0" w:color="DDDDDD"/>
              <w:right w:val="single" w:sz="6" w:space="0" w:color="DDDDDD"/>
            </w:tcBorders>
            <w:shd w:val="clear" w:color="auto" w:fill="2572B4"/>
            <w:tcMar>
              <w:top w:w="75" w:type="dxa"/>
              <w:left w:w="75" w:type="dxa"/>
              <w:bottom w:w="75" w:type="dxa"/>
              <w:right w:w="75" w:type="dxa"/>
            </w:tcMar>
            <w:hideMark/>
          </w:tcPr>
          <w:p w14:paraId="785E4D4C" w14:textId="77777777" w:rsidR="00763624" w:rsidRPr="00763624" w:rsidRDefault="00763624" w:rsidP="00763624">
            <w:pPr>
              <w:snapToGrid w:val="0"/>
              <w:spacing w:after="0" w:line="160" w:lineRule="atLeast"/>
              <w:rPr>
                <w:color w:val="FFFFFF" w:themeColor="background1"/>
              </w:rPr>
            </w:pPr>
            <w:r w:rsidRPr="00763624">
              <w:rPr>
                <w:color w:val="FFFFFF" w:themeColor="background1"/>
              </w:rPr>
              <w:t>Ingredients or product group description</w:t>
            </w:r>
          </w:p>
        </w:tc>
        <w:tc>
          <w:tcPr>
            <w:tcW w:w="1063" w:type="pct"/>
            <w:tcBorders>
              <w:top w:val="nil"/>
              <w:left w:val="single" w:sz="6" w:space="0" w:color="DDDDDD"/>
              <w:bottom w:val="single" w:sz="12" w:space="0" w:color="DDDDDD"/>
              <w:right w:val="single" w:sz="6" w:space="0" w:color="DDDDDD"/>
            </w:tcBorders>
            <w:shd w:val="clear" w:color="auto" w:fill="2572B4"/>
            <w:tcMar>
              <w:top w:w="75" w:type="dxa"/>
              <w:left w:w="75" w:type="dxa"/>
              <w:bottom w:w="75" w:type="dxa"/>
              <w:right w:w="75" w:type="dxa"/>
            </w:tcMar>
            <w:hideMark/>
          </w:tcPr>
          <w:p w14:paraId="54C85026" w14:textId="77777777" w:rsidR="00763624" w:rsidRPr="00763624" w:rsidRDefault="00763624" w:rsidP="00763624">
            <w:pPr>
              <w:snapToGrid w:val="0"/>
              <w:spacing w:after="0" w:line="160" w:lineRule="atLeast"/>
              <w:rPr>
                <w:color w:val="FFFFFF" w:themeColor="background1"/>
              </w:rPr>
            </w:pPr>
            <w:r w:rsidRPr="00763624">
              <w:rPr>
                <w:color w:val="FFFFFF" w:themeColor="background1"/>
              </w:rPr>
              <w:t>Route of administration</w:t>
            </w:r>
          </w:p>
        </w:tc>
      </w:tr>
      <w:tr w:rsidR="00763624" w:rsidRPr="00763624" w14:paraId="1DAA378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664D468" w14:textId="77777777" w:rsidR="00763624" w:rsidRPr="00763624" w:rsidRDefault="00763624" w:rsidP="00763624">
            <w:pPr>
              <w:snapToGrid w:val="0"/>
              <w:spacing w:after="0" w:line="160" w:lineRule="atLeast"/>
            </w:pPr>
            <w:r w:rsidRPr="00763624">
              <w:rPr>
                <w:b/>
                <w:bCs/>
              </w:rPr>
              <w:t>acetylcysteine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5356D2C" w14:textId="77777777" w:rsidR="00763624" w:rsidRPr="00763624" w:rsidRDefault="00763624" w:rsidP="00763624">
            <w:pPr>
              <w:snapToGrid w:val="0"/>
              <w:spacing w:after="0" w:line="160" w:lineRule="atLeast"/>
            </w:pPr>
            <w:r w:rsidRPr="00763624">
              <w:t>oral</w:t>
            </w:r>
          </w:p>
        </w:tc>
      </w:tr>
      <w:tr w:rsidR="00763624" w:rsidRPr="00763624" w14:paraId="43D452C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22251E" w14:textId="77777777" w:rsidR="00763624" w:rsidRPr="00763624" w:rsidRDefault="00763624" w:rsidP="00763624">
            <w:pPr>
              <w:snapToGrid w:val="0"/>
              <w:spacing w:after="0" w:line="160" w:lineRule="atLeast"/>
            </w:pPr>
            <w:r w:rsidRPr="00763624">
              <w:rPr>
                <w:b/>
                <w:bCs/>
              </w:rPr>
              <w:t>acetylsalicylic acid</w:t>
            </w:r>
            <w:r w:rsidRPr="00763624">
              <w:t> (when sold or recommended as a platelet aggregation inhibitor)</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6F6C446" w14:textId="77777777" w:rsidR="00763624" w:rsidRPr="00763624" w:rsidRDefault="00763624" w:rsidP="00763624">
            <w:pPr>
              <w:snapToGrid w:val="0"/>
              <w:spacing w:after="0" w:line="160" w:lineRule="atLeast"/>
            </w:pPr>
            <w:r w:rsidRPr="00763624">
              <w:t>oral</w:t>
            </w:r>
          </w:p>
        </w:tc>
      </w:tr>
      <w:tr w:rsidR="00763624" w:rsidRPr="00763624" w14:paraId="053CA31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3784940" w14:textId="77777777" w:rsidR="00763624" w:rsidRPr="00763624" w:rsidRDefault="00763624" w:rsidP="00763624">
            <w:pPr>
              <w:snapToGrid w:val="0"/>
              <w:spacing w:after="0" w:line="160" w:lineRule="atLeast"/>
            </w:pPr>
            <w:r w:rsidRPr="00763624">
              <w:rPr>
                <w:b/>
                <w:bCs/>
              </w:rPr>
              <w:t>acyclovir</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89EF57D" w14:textId="77777777" w:rsidR="00763624" w:rsidRPr="00763624" w:rsidRDefault="00763624" w:rsidP="00763624">
            <w:pPr>
              <w:snapToGrid w:val="0"/>
              <w:spacing w:after="0" w:line="160" w:lineRule="atLeast"/>
            </w:pPr>
            <w:r w:rsidRPr="00763624">
              <w:t>parenteral</w:t>
            </w:r>
          </w:p>
        </w:tc>
      </w:tr>
      <w:tr w:rsidR="00763624" w:rsidRPr="00763624" w14:paraId="2D04914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24870F6" w14:textId="77777777" w:rsidR="00763624" w:rsidRPr="00763624" w:rsidRDefault="00763624" w:rsidP="00763624">
            <w:pPr>
              <w:snapToGrid w:val="0"/>
              <w:spacing w:after="0" w:line="160" w:lineRule="atLeast"/>
            </w:pPr>
            <w:r w:rsidRPr="00763624">
              <w:rPr>
                <w:b/>
                <w:bCs/>
              </w:rPr>
              <w:t>adenosine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22402B" w14:textId="77777777" w:rsidR="00763624" w:rsidRPr="00763624" w:rsidRDefault="00763624" w:rsidP="00763624">
            <w:pPr>
              <w:snapToGrid w:val="0"/>
              <w:spacing w:after="0" w:line="160" w:lineRule="atLeast"/>
            </w:pPr>
            <w:r w:rsidRPr="00763624">
              <w:t>parenteral</w:t>
            </w:r>
          </w:p>
        </w:tc>
      </w:tr>
      <w:tr w:rsidR="00763624" w:rsidRPr="00763624" w14:paraId="7E2B912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3474C75" w14:textId="77777777" w:rsidR="00763624" w:rsidRPr="00763624" w:rsidRDefault="00763624" w:rsidP="00763624">
            <w:pPr>
              <w:snapToGrid w:val="0"/>
              <w:spacing w:after="0" w:line="160" w:lineRule="atLeast"/>
            </w:pPr>
            <w:r w:rsidRPr="00763624">
              <w:rPr>
                <w:b/>
                <w:bCs/>
              </w:rPr>
              <w:t>alteplase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14CE64C" w14:textId="77777777" w:rsidR="00763624" w:rsidRPr="00763624" w:rsidRDefault="00763624" w:rsidP="00763624">
            <w:pPr>
              <w:snapToGrid w:val="0"/>
              <w:spacing w:after="0" w:line="160" w:lineRule="atLeast"/>
            </w:pPr>
            <w:r w:rsidRPr="00763624">
              <w:t>parenteral</w:t>
            </w:r>
          </w:p>
        </w:tc>
      </w:tr>
      <w:tr w:rsidR="00763624" w:rsidRPr="00763624" w14:paraId="1391FB2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86C7110" w14:textId="77777777" w:rsidR="00763624" w:rsidRPr="00763624" w:rsidRDefault="00763624" w:rsidP="00763624">
            <w:pPr>
              <w:snapToGrid w:val="0"/>
              <w:spacing w:after="0" w:line="160" w:lineRule="atLeast"/>
            </w:pPr>
            <w:r w:rsidRPr="00763624">
              <w:rPr>
                <w:b/>
                <w:bCs/>
              </w:rPr>
              <w:t>amikacin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33A6DC6" w14:textId="77777777" w:rsidR="00763624" w:rsidRPr="00763624" w:rsidRDefault="00763624" w:rsidP="00763624">
            <w:pPr>
              <w:snapToGrid w:val="0"/>
              <w:spacing w:after="0" w:line="160" w:lineRule="atLeast"/>
            </w:pPr>
            <w:r w:rsidRPr="00763624">
              <w:t>parenteral</w:t>
            </w:r>
          </w:p>
        </w:tc>
      </w:tr>
      <w:tr w:rsidR="00763624" w:rsidRPr="00763624" w14:paraId="59D7ED2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25DDAAB" w14:textId="77777777" w:rsidR="00763624" w:rsidRPr="00763624" w:rsidRDefault="00763624" w:rsidP="00763624">
            <w:pPr>
              <w:snapToGrid w:val="0"/>
              <w:spacing w:after="0" w:line="160" w:lineRule="atLeast"/>
            </w:pPr>
            <w:r w:rsidRPr="00763624">
              <w:rPr>
                <w:b/>
                <w:bCs/>
              </w:rPr>
              <w:t>amino acids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59AAC7C" w14:textId="77777777" w:rsidR="00763624" w:rsidRPr="00763624" w:rsidRDefault="00763624" w:rsidP="00763624">
            <w:pPr>
              <w:snapToGrid w:val="0"/>
              <w:spacing w:after="0" w:line="160" w:lineRule="atLeast"/>
            </w:pPr>
            <w:r w:rsidRPr="00763624">
              <w:t>parenteral</w:t>
            </w:r>
          </w:p>
        </w:tc>
      </w:tr>
      <w:tr w:rsidR="00763624" w:rsidRPr="00763624" w14:paraId="66F0901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BB11442" w14:textId="77777777" w:rsidR="00763624" w:rsidRPr="00763624" w:rsidRDefault="00763624" w:rsidP="00763624">
            <w:pPr>
              <w:snapToGrid w:val="0"/>
              <w:spacing w:after="0" w:line="160" w:lineRule="atLeast"/>
            </w:pPr>
            <w:r w:rsidRPr="00763624">
              <w:rPr>
                <w:b/>
                <w:bCs/>
              </w:rPr>
              <w:t>amino acids and electrolytes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362F8D3" w14:textId="77777777" w:rsidR="00763624" w:rsidRPr="00763624" w:rsidRDefault="00763624" w:rsidP="00763624">
            <w:pPr>
              <w:snapToGrid w:val="0"/>
              <w:spacing w:after="0" w:line="160" w:lineRule="atLeast"/>
            </w:pPr>
            <w:r w:rsidRPr="00763624">
              <w:t>parenteral</w:t>
            </w:r>
          </w:p>
        </w:tc>
      </w:tr>
      <w:tr w:rsidR="00763624" w:rsidRPr="00763624" w14:paraId="391EED0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5D5A418" w14:textId="77777777" w:rsidR="00763624" w:rsidRPr="00763624" w:rsidRDefault="00763624" w:rsidP="00763624">
            <w:pPr>
              <w:snapToGrid w:val="0"/>
              <w:spacing w:after="0" w:line="160" w:lineRule="atLeast"/>
            </w:pPr>
            <w:r w:rsidRPr="00763624">
              <w:rPr>
                <w:b/>
                <w:bCs/>
              </w:rPr>
              <w:t>amiodarone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004F459" w14:textId="77777777" w:rsidR="00763624" w:rsidRPr="00763624" w:rsidRDefault="00763624" w:rsidP="00763624">
            <w:pPr>
              <w:snapToGrid w:val="0"/>
              <w:spacing w:after="0" w:line="160" w:lineRule="atLeast"/>
            </w:pPr>
            <w:r w:rsidRPr="00763624">
              <w:t>parenteral</w:t>
            </w:r>
          </w:p>
        </w:tc>
      </w:tr>
      <w:tr w:rsidR="00763624" w:rsidRPr="00763624" w14:paraId="40C5C3D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278C2B8" w14:textId="77777777" w:rsidR="00763624" w:rsidRPr="00763624" w:rsidRDefault="00763624" w:rsidP="00763624">
            <w:pPr>
              <w:snapToGrid w:val="0"/>
              <w:spacing w:after="0" w:line="160" w:lineRule="atLeast"/>
            </w:pPr>
            <w:r w:rsidRPr="00763624">
              <w:rPr>
                <w:b/>
                <w:bCs/>
              </w:rPr>
              <w:t>amoxicillin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DD2F320" w14:textId="77777777" w:rsidR="00763624" w:rsidRPr="00763624" w:rsidRDefault="00763624" w:rsidP="00763624">
            <w:pPr>
              <w:snapToGrid w:val="0"/>
              <w:spacing w:after="0" w:line="160" w:lineRule="atLeast"/>
            </w:pPr>
            <w:r w:rsidRPr="00763624">
              <w:t>oral</w:t>
            </w:r>
          </w:p>
        </w:tc>
      </w:tr>
      <w:tr w:rsidR="00763624" w:rsidRPr="00763624" w14:paraId="394B041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DF768FE" w14:textId="77777777" w:rsidR="00763624" w:rsidRPr="00763624" w:rsidRDefault="00763624" w:rsidP="00763624">
            <w:pPr>
              <w:snapToGrid w:val="0"/>
              <w:spacing w:after="0" w:line="160" w:lineRule="atLeast"/>
            </w:pPr>
            <w:r w:rsidRPr="00763624">
              <w:rPr>
                <w:b/>
                <w:bCs/>
              </w:rPr>
              <w:t>amphotericin 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783E092" w14:textId="77777777" w:rsidR="00763624" w:rsidRPr="00763624" w:rsidRDefault="00763624" w:rsidP="00763624">
            <w:pPr>
              <w:snapToGrid w:val="0"/>
              <w:spacing w:after="0" w:line="160" w:lineRule="atLeast"/>
            </w:pPr>
            <w:r w:rsidRPr="00763624">
              <w:t>parenteral</w:t>
            </w:r>
          </w:p>
        </w:tc>
      </w:tr>
      <w:tr w:rsidR="00763624" w:rsidRPr="00763624" w14:paraId="6A784C5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DE922BB" w14:textId="77777777" w:rsidR="00763624" w:rsidRPr="00763624" w:rsidRDefault="00763624" w:rsidP="00763624">
            <w:pPr>
              <w:snapToGrid w:val="0"/>
              <w:spacing w:after="0" w:line="160" w:lineRule="atLeast"/>
            </w:pPr>
            <w:r w:rsidRPr="00763624">
              <w:rPr>
                <w:b/>
                <w:bCs/>
              </w:rPr>
              <w:t>ampicillin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3E605C6" w14:textId="77777777" w:rsidR="00763624" w:rsidRPr="00763624" w:rsidRDefault="00763624" w:rsidP="00763624">
            <w:pPr>
              <w:snapToGrid w:val="0"/>
              <w:spacing w:after="0" w:line="160" w:lineRule="atLeast"/>
            </w:pPr>
            <w:r w:rsidRPr="00763624">
              <w:t>parenteral</w:t>
            </w:r>
          </w:p>
        </w:tc>
      </w:tr>
      <w:tr w:rsidR="00763624" w:rsidRPr="00763624" w14:paraId="6440494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4160737" w14:textId="77777777" w:rsidR="00763624" w:rsidRPr="00763624" w:rsidRDefault="00763624" w:rsidP="00763624">
            <w:pPr>
              <w:snapToGrid w:val="0"/>
              <w:spacing w:after="0" w:line="160" w:lineRule="atLeast"/>
            </w:pPr>
            <w:r w:rsidRPr="00763624">
              <w:rPr>
                <w:b/>
                <w:bCs/>
              </w:rPr>
              <w:t>anthrax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C1F9FBE" w14:textId="77777777" w:rsidR="00763624" w:rsidRPr="00763624" w:rsidRDefault="00763624" w:rsidP="00763624">
            <w:pPr>
              <w:snapToGrid w:val="0"/>
              <w:spacing w:after="0" w:line="160" w:lineRule="atLeast"/>
            </w:pPr>
            <w:r w:rsidRPr="00763624">
              <w:t>parenteral</w:t>
            </w:r>
          </w:p>
        </w:tc>
      </w:tr>
      <w:tr w:rsidR="00763624" w:rsidRPr="00763624" w14:paraId="026EA5E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1477851" w14:textId="77777777" w:rsidR="00763624" w:rsidRPr="00763624" w:rsidRDefault="00763624" w:rsidP="00763624">
            <w:pPr>
              <w:snapToGrid w:val="0"/>
              <w:spacing w:after="0" w:line="160" w:lineRule="atLeast"/>
            </w:pPr>
            <w:r w:rsidRPr="00763624">
              <w:rPr>
                <w:b/>
                <w:bCs/>
              </w:rPr>
              <w:t>anti-D (rh)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DDF8141" w14:textId="77777777" w:rsidR="00763624" w:rsidRPr="00763624" w:rsidRDefault="00763624" w:rsidP="00763624">
            <w:pPr>
              <w:snapToGrid w:val="0"/>
              <w:spacing w:after="0" w:line="160" w:lineRule="atLeast"/>
            </w:pPr>
            <w:r w:rsidRPr="00763624">
              <w:t>parenteral</w:t>
            </w:r>
          </w:p>
        </w:tc>
      </w:tr>
      <w:tr w:rsidR="00763624" w:rsidRPr="00763624" w14:paraId="07F1689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9DF8288" w14:textId="77777777" w:rsidR="00763624" w:rsidRPr="00763624" w:rsidRDefault="00763624" w:rsidP="00763624">
            <w:pPr>
              <w:snapToGrid w:val="0"/>
              <w:spacing w:after="0" w:line="160" w:lineRule="atLeast"/>
            </w:pPr>
            <w:r w:rsidRPr="00763624">
              <w:rPr>
                <w:b/>
                <w:bCs/>
              </w:rPr>
              <w:t>atezolizumab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E9F7FAA" w14:textId="77777777" w:rsidR="00763624" w:rsidRPr="00763624" w:rsidRDefault="00763624" w:rsidP="00763624">
            <w:pPr>
              <w:snapToGrid w:val="0"/>
              <w:spacing w:after="0" w:line="160" w:lineRule="atLeast"/>
            </w:pPr>
            <w:r w:rsidRPr="00763624">
              <w:t>parenteral</w:t>
            </w:r>
          </w:p>
        </w:tc>
      </w:tr>
      <w:tr w:rsidR="00763624" w:rsidRPr="00763624" w14:paraId="25E87EA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461570" w14:textId="77777777" w:rsidR="00763624" w:rsidRPr="00763624" w:rsidRDefault="00763624" w:rsidP="00763624">
            <w:pPr>
              <w:snapToGrid w:val="0"/>
              <w:spacing w:after="0" w:line="160" w:lineRule="atLeast"/>
            </w:pPr>
            <w:r w:rsidRPr="00763624">
              <w:rPr>
                <w:b/>
                <w:bCs/>
              </w:rPr>
              <w:t>atropine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2B14673" w14:textId="77777777" w:rsidR="00763624" w:rsidRPr="00763624" w:rsidRDefault="00763624" w:rsidP="00763624">
            <w:pPr>
              <w:snapToGrid w:val="0"/>
              <w:spacing w:after="0" w:line="160" w:lineRule="atLeast"/>
            </w:pPr>
            <w:r w:rsidRPr="00763624">
              <w:t>parenteral</w:t>
            </w:r>
          </w:p>
        </w:tc>
      </w:tr>
      <w:tr w:rsidR="00763624" w:rsidRPr="00763624" w14:paraId="4418904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3505E9B" w14:textId="77777777" w:rsidR="00763624" w:rsidRPr="00763624" w:rsidRDefault="00763624" w:rsidP="00763624">
            <w:pPr>
              <w:snapToGrid w:val="0"/>
              <w:spacing w:after="0" w:line="160" w:lineRule="atLeast"/>
            </w:pPr>
            <w:proofErr w:type="spellStart"/>
            <w:r w:rsidRPr="00763624">
              <w:rPr>
                <w:b/>
                <w:bCs/>
              </w:rPr>
              <w:t>axicabtagene</w:t>
            </w:r>
            <w:proofErr w:type="spellEnd"/>
            <w:r w:rsidRPr="00763624">
              <w:rPr>
                <w:b/>
                <w:bCs/>
              </w:rPr>
              <w:t xml:space="preserve"> </w:t>
            </w:r>
            <w:proofErr w:type="spellStart"/>
            <w:r w:rsidRPr="00763624">
              <w:rPr>
                <w:b/>
                <w:bCs/>
              </w:rPr>
              <w:t>ciloleucel</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D4A3D26" w14:textId="77777777" w:rsidR="00763624" w:rsidRPr="00763624" w:rsidRDefault="00763624" w:rsidP="00763624">
            <w:pPr>
              <w:snapToGrid w:val="0"/>
              <w:spacing w:after="0" w:line="160" w:lineRule="atLeast"/>
            </w:pPr>
            <w:r w:rsidRPr="00763624">
              <w:t>parenteral</w:t>
            </w:r>
          </w:p>
        </w:tc>
      </w:tr>
      <w:tr w:rsidR="00763624" w:rsidRPr="00763624" w14:paraId="5834B87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D64CE55" w14:textId="77777777" w:rsidR="00763624" w:rsidRPr="00763624" w:rsidRDefault="00763624" w:rsidP="00763624">
            <w:pPr>
              <w:snapToGrid w:val="0"/>
              <w:spacing w:after="0" w:line="160" w:lineRule="atLeast"/>
            </w:pPr>
            <w:r w:rsidRPr="00763624">
              <w:rPr>
                <w:b/>
                <w:bCs/>
              </w:rPr>
              <w:t>azithromycin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F4C9675" w14:textId="77777777" w:rsidR="00763624" w:rsidRPr="00763624" w:rsidRDefault="00763624" w:rsidP="00763624">
            <w:pPr>
              <w:snapToGrid w:val="0"/>
              <w:spacing w:after="0" w:line="160" w:lineRule="atLeast"/>
            </w:pPr>
            <w:r w:rsidRPr="00763624">
              <w:t>parenteral</w:t>
            </w:r>
          </w:p>
        </w:tc>
      </w:tr>
      <w:tr w:rsidR="00763624" w:rsidRPr="00763624" w14:paraId="0C6BB18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9962670" w14:textId="77777777" w:rsidR="00763624" w:rsidRPr="00763624" w:rsidRDefault="00763624" w:rsidP="00763624">
            <w:pPr>
              <w:snapToGrid w:val="0"/>
              <w:spacing w:after="0" w:line="160" w:lineRule="atLeast"/>
            </w:pPr>
            <w:r w:rsidRPr="00763624">
              <w:rPr>
                <w:b/>
                <w:bCs/>
              </w:rPr>
              <w:t xml:space="preserve">bacillus </w:t>
            </w:r>
            <w:proofErr w:type="spellStart"/>
            <w:r w:rsidRPr="00763624">
              <w:rPr>
                <w:b/>
                <w:bCs/>
              </w:rPr>
              <w:t>calmette-guerin</w:t>
            </w:r>
            <w:proofErr w:type="spellEnd"/>
            <w:r w:rsidRPr="00763624">
              <w:t> (when sold or recommended as an antineoplastic agent)</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04D9C23" w14:textId="77777777" w:rsidR="00763624" w:rsidRPr="00763624" w:rsidRDefault="00763624" w:rsidP="00763624">
            <w:pPr>
              <w:snapToGrid w:val="0"/>
              <w:spacing w:after="0" w:line="160" w:lineRule="atLeast"/>
            </w:pPr>
            <w:r w:rsidRPr="00763624">
              <w:t>parenteral</w:t>
            </w:r>
          </w:p>
        </w:tc>
      </w:tr>
      <w:tr w:rsidR="00763624" w:rsidRPr="00763624" w14:paraId="29296ED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A862E1C" w14:textId="77777777" w:rsidR="00763624" w:rsidRPr="00763624" w:rsidRDefault="00763624" w:rsidP="00763624">
            <w:pPr>
              <w:snapToGrid w:val="0"/>
              <w:spacing w:after="0" w:line="160" w:lineRule="atLeast"/>
            </w:pPr>
            <w:r w:rsidRPr="00763624">
              <w:rPr>
                <w:b/>
                <w:bCs/>
              </w:rPr>
              <w:t>bevacizumab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8A3A624" w14:textId="77777777" w:rsidR="00763624" w:rsidRPr="00763624" w:rsidRDefault="00763624" w:rsidP="00763624">
            <w:pPr>
              <w:snapToGrid w:val="0"/>
              <w:spacing w:after="0" w:line="160" w:lineRule="atLeast"/>
            </w:pPr>
            <w:r w:rsidRPr="00763624">
              <w:t>parenteral</w:t>
            </w:r>
          </w:p>
        </w:tc>
      </w:tr>
      <w:tr w:rsidR="00763624" w:rsidRPr="00763624" w14:paraId="193BF2E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58F38E7" w14:textId="77777777" w:rsidR="00763624" w:rsidRPr="00763624" w:rsidRDefault="00763624" w:rsidP="00763624">
            <w:pPr>
              <w:snapToGrid w:val="0"/>
              <w:spacing w:after="0" w:line="160" w:lineRule="atLeast"/>
            </w:pPr>
            <w:r w:rsidRPr="00763624">
              <w:rPr>
                <w:b/>
                <w:bCs/>
              </w:rPr>
              <w:t>blinatumomab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286D23B" w14:textId="77777777" w:rsidR="00763624" w:rsidRPr="00763624" w:rsidRDefault="00763624" w:rsidP="00763624">
            <w:pPr>
              <w:snapToGrid w:val="0"/>
              <w:spacing w:after="0" w:line="160" w:lineRule="atLeast"/>
            </w:pPr>
            <w:r w:rsidRPr="00763624">
              <w:t>parenteral</w:t>
            </w:r>
          </w:p>
        </w:tc>
      </w:tr>
      <w:tr w:rsidR="00763624" w:rsidRPr="00763624" w14:paraId="21F6BD4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BE18C96" w14:textId="77777777" w:rsidR="00763624" w:rsidRPr="00763624" w:rsidRDefault="00763624" w:rsidP="00763624">
            <w:pPr>
              <w:snapToGrid w:val="0"/>
              <w:spacing w:after="0" w:line="160" w:lineRule="atLeast"/>
            </w:pPr>
            <w:r w:rsidRPr="00763624">
              <w:rPr>
                <w:b/>
                <w:bCs/>
              </w:rPr>
              <w:t>botulinum antitoxin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6DB3116" w14:textId="77777777" w:rsidR="00763624" w:rsidRPr="00763624" w:rsidRDefault="00763624" w:rsidP="00763624">
            <w:pPr>
              <w:snapToGrid w:val="0"/>
              <w:spacing w:after="0" w:line="160" w:lineRule="atLeast"/>
            </w:pPr>
            <w:r w:rsidRPr="00763624">
              <w:t>parenteral</w:t>
            </w:r>
          </w:p>
        </w:tc>
      </w:tr>
      <w:tr w:rsidR="00763624" w:rsidRPr="00763624" w14:paraId="592160C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1C76386" w14:textId="77777777" w:rsidR="00763624" w:rsidRPr="00763624" w:rsidRDefault="00763624" w:rsidP="00763624">
            <w:pPr>
              <w:snapToGrid w:val="0"/>
              <w:spacing w:after="0" w:line="160" w:lineRule="atLeast"/>
            </w:pPr>
            <w:r w:rsidRPr="00763624">
              <w:rPr>
                <w:b/>
                <w:bCs/>
              </w:rPr>
              <w:t xml:space="preserve">brentuximab </w:t>
            </w:r>
            <w:proofErr w:type="spellStart"/>
            <w:r w:rsidRPr="00763624">
              <w:rPr>
                <w:b/>
                <w:bCs/>
              </w:rPr>
              <w:t>vedotin</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941B74A" w14:textId="77777777" w:rsidR="00763624" w:rsidRPr="00763624" w:rsidRDefault="00763624" w:rsidP="00763624">
            <w:pPr>
              <w:snapToGrid w:val="0"/>
              <w:spacing w:after="0" w:line="160" w:lineRule="atLeast"/>
            </w:pPr>
            <w:r w:rsidRPr="00763624">
              <w:t>parenteral</w:t>
            </w:r>
          </w:p>
        </w:tc>
      </w:tr>
      <w:tr w:rsidR="00763624" w:rsidRPr="00763624" w14:paraId="43F220A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08ABCC2" w14:textId="77777777" w:rsidR="00763624" w:rsidRPr="00763624" w:rsidRDefault="00763624" w:rsidP="00763624">
            <w:pPr>
              <w:snapToGrid w:val="0"/>
              <w:spacing w:after="0" w:line="160" w:lineRule="atLeast"/>
            </w:pPr>
            <w:proofErr w:type="spellStart"/>
            <w:r w:rsidRPr="00763624">
              <w:rPr>
                <w:b/>
                <w:bCs/>
              </w:rPr>
              <w:t>brexucabtagene</w:t>
            </w:r>
            <w:proofErr w:type="spellEnd"/>
            <w:r w:rsidRPr="00763624">
              <w:rPr>
                <w:b/>
                <w:bCs/>
              </w:rPr>
              <w:t xml:space="preserve"> </w:t>
            </w:r>
            <w:proofErr w:type="spellStart"/>
            <w:r w:rsidRPr="00763624">
              <w:rPr>
                <w:b/>
                <w:bCs/>
              </w:rPr>
              <w:t>autoleucel</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5785218" w14:textId="77777777" w:rsidR="00763624" w:rsidRPr="00763624" w:rsidRDefault="00763624" w:rsidP="00763624">
            <w:pPr>
              <w:snapToGrid w:val="0"/>
              <w:spacing w:after="0" w:line="160" w:lineRule="atLeast"/>
            </w:pPr>
            <w:r w:rsidRPr="00763624">
              <w:t>parenteral</w:t>
            </w:r>
          </w:p>
        </w:tc>
      </w:tr>
      <w:tr w:rsidR="00763624" w:rsidRPr="00763624" w14:paraId="3C3096F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ADCBBBB" w14:textId="77777777" w:rsidR="00763624" w:rsidRPr="00763624" w:rsidRDefault="00763624" w:rsidP="00763624">
            <w:pPr>
              <w:snapToGrid w:val="0"/>
              <w:spacing w:after="0" w:line="160" w:lineRule="atLeast"/>
            </w:pPr>
            <w:r w:rsidRPr="00763624">
              <w:rPr>
                <w:b/>
                <w:bCs/>
              </w:rPr>
              <w:t>buprenorphine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11ACCD3" w14:textId="77777777" w:rsidR="00763624" w:rsidRPr="00763624" w:rsidRDefault="00763624" w:rsidP="00763624">
            <w:pPr>
              <w:snapToGrid w:val="0"/>
              <w:spacing w:after="0" w:line="160" w:lineRule="atLeast"/>
            </w:pPr>
            <w:r w:rsidRPr="00763624">
              <w:t>parenteral</w:t>
            </w:r>
          </w:p>
        </w:tc>
      </w:tr>
      <w:tr w:rsidR="00763624" w:rsidRPr="00763624" w14:paraId="2FD2E8C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F1C532E" w14:textId="77777777" w:rsidR="00763624" w:rsidRPr="00763624" w:rsidRDefault="00763624" w:rsidP="00763624">
            <w:pPr>
              <w:snapToGrid w:val="0"/>
              <w:spacing w:after="0" w:line="160" w:lineRule="atLeast"/>
            </w:pPr>
            <w:r w:rsidRPr="00763624">
              <w:rPr>
                <w:b/>
                <w:bCs/>
              </w:rPr>
              <w:lastRenderedPageBreak/>
              <w:t>buprenorphine and naloxone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CAFD031" w14:textId="77777777" w:rsidR="00763624" w:rsidRPr="00763624" w:rsidRDefault="00763624" w:rsidP="00763624">
            <w:pPr>
              <w:snapToGrid w:val="0"/>
              <w:spacing w:after="0" w:line="160" w:lineRule="atLeast"/>
            </w:pPr>
            <w:r w:rsidRPr="00763624">
              <w:t>oral</w:t>
            </w:r>
          </w:p>
        </w:tc>
      </w:tr>
      <w:tr w:rsidR="00763624" w:rsidRPr="00763624" w14:paraId="5EA1178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937FED1" w14:textId="77777777" w:rsidR="00763624" w:rsidRPr="00763624" w:rsidRDefault="00763624" w:rsidP="00763624">
            <w:pPr>
              <w:snapToGrid w:val="0"/>
              <w:spacing w:after="0" w:line="160" w:lineRule="atLeast"/>
            </w:pPr>
            <w:r w:rsidRPr="00763624">
              <w:rPr>
                <w:b/>
                <w:bCs/>
              </w:rPr>
              <w:t>calcium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4377571" w14:textId="77777777" w:rsidR="00763624" w:rsidRPr="00763624" w:rsidRDefault="00763624" w:rsidP="00763624">
            <w:pPr>
              <w:snapToGrid w:val="0"/>
              <w:spacing w:after="0" w:line="160" w:lineRule="atLeast"/>
            </w:pPr>
            <w:r w:rsidRPr="00763624">
              <w:t>parenteral</w:t>
            </w:r>
          </w:p>
        </w:tc>
      </w:tr>
      <w:tr w:rsidR="00763624" w:rsidRPr="00763624" w14:paraId="1FA744C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10D868" w14:textId="77777777" w:rsidR="00763624" w:rsidRPr="00763624" w:rsidRDefault="00763624" w:rsidP="00763624">
            <w:pPr>
              <w:snapToGrid w:val="0"/>
              <w:spacing w:after="0" w:line="160" w:lineRule="atLeast"/>
            </w:pPr>
            <w:proofErr w:type="spellStart"/>
            <w:r w:rsidRPr="00763624">
              <w:rPr>
                <w:b/>
                <w:bCs/>
              </w:rPr>
              <w:t>caspofungin</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4AEE5D" w14:textId="77777777" w:rsidR="00763624" w:rsidRPr="00763624" w:rsidRDefault="00763624" w:rsidP="00763624">
            <w:pPr>
              <w:snapToGrid w:val="0"/>
              <w:spacing w:after="0" w:line="160" w:lineRule="atLeast"/>
            </w:pPr>
            <w:r w:rsidRPr="00763624">
              <w:t>parenteral</w:t>
            </w:r>
          </w:p>
        </w:tc>
      </w:tr>
      <w:tr w:rsidR="00763624" w:rsidRPr="00763624" w14:paraId="729817D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F0705DF" w14:textId="77777777" w:rsidR="00763624" w:rsidRPr="00763624" w:rsidRDefault="00763624" w:rsidP="00763624">
            <w:pPr>
              <w:snapToGrid w:val="0"/>
              <w:spacing w:after="0" w:line="160" w:lineRule="atLeast"/>
            </w:pPr>
            <w:r w:rsidRPr="00763624">
              <w:rPr>
                <w:b/>
                <w:bCs/>
              </w:rPr>
              <w:t>catridecacog</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B792BF4" w14:textId="77777777" w:rsidR="00763624" w:rsidRPr="00763624" w:rsidRDefault="00763624" w:rsidP="00763624">
            <w:pPr>
              <w:snapToGrid w:val="0"/>
              <w:spacing w:after="0" w:line="160" w:lineRule="atLeast"/>
            </w:pPr>
            <w:r w:rsidRPr="00763624">
              <w:t>parenteral</w:t>
            </w:r>
          </w:p>
        </w:tc>
      </w:tr>
      <w:tr w:rsidR="00763624" w:rsidRPr="00763624" w14:paraId="5673F3B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FD86C99" w14:textId="77777777" w:rsidR="00763624" w:rsidRPr="00763624" w:rsidRDefault="00763624" w:rsidP="00763624">
            <w:pPr>
              <w:snapToGrid w:val="0"/>
              <w:spacing w:after="0" w:line="160" w:lineRule="atLeast"/>
            </w:pPr>
            <w:r w:rsidRPr="00763624">
              <w:rPr>
                <w:b/>
                <w:bCs/>
              </w:rPr>
              <w:t>cefazolin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CCB1867" w14:textId="77777777" w:rsidR="00763624" w:rsidRPr="00763624" w:rsidRDefault="00763624" w:rsidP="00763624">
            <w:pPr>
              <w:snapToGrid w:val="0"/>
              <w:spacing w:after="0" w:line="160" w:lineRule="atLeast"/>
            </w:pPr>
            <w:r w:rsidRPr="00763624">
              <w:t>parenteral</w:t>
            </w:r>
          </w:p>
        </w:tc>
      </w:tr>
      <w:tr w:rsidR="00763624" w:rsidRPr="00763624" w14:paraId="73DE1D3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958CA0F" w14:textId="77777777" w:rsidR="00763624" w:rsidRPr="00763624" w:rsidRDefault="00763624" w:rsidP="00763624">
            <w:pPr>
              <w:snapToGrid w:val="0"/>
              <w:spacing w:after="0" w:line="160" w:lineRule="atLeast"/>
            </w:pPr>
            <w:r w:rsidRPr="00763624">
              <w:rPr>
                <w:b/>
                <w:bCs/>
              </w:rPr>
              <w:t>cefixime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E4C657D" w14:textId="77777777" w:rsidR="00763624" w:rsidRPr="00763624" w:rsidRDefault="00763624" w:rsidP="00763624">
            <w:pPr>
              <w:snapToGrid w:val="0"/>
              <w:spacing w:after="0" w:line="160" w:lineRule="atLeast"/>
            </w:pPr>
            <w:r w:rsidRPr="00763624">
              <w:t>oral</w:t>
            </w:r>
          </w:p>
        </w:tc>
      </w:tr>
      <w:tr w:rsidR="00763624" w:rsidRPr="00763624" w14:paraId="17D0AB7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B129DCB" w14:textId="77777777" w:rsidR="00763624" w:rsidRPr="00763624" w:rsidRDefault="00763624" w:rsidP="00763624">
            <w:pPr>
              <w:snapToGrid w:val="0"/>
              <w:spacing w:after="0" w:line="160" w:lineRule="atLeast"/>
            </w:pPr>
            <w:r w:rsidRPr="00763624">
              <w:rPr>
                <w:b/>
                <w:bCs/>
              </w:rPr>
              <w:t>cefotaxime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43C4932" w14:textId="77777777" w:rsidR="00763624" w:rsidRPr="00763624" w:rsidRDefault="00763624" w:rsidP="00763624">
            <w:pPr>
              <w:snapToGrid w:val="0"/>
              <w:spacing w:after="0" w:line="160" w:lineRule="atLeast"/>
            </w:pPr>
            <w:r w:rsidRPr="00763624">
              <w:t>parenteral</w:t>
            </w:r>
          </w:p>
        </w:tc>
      </w:tr>
      <w:tr w:rsidR="00763624" w:rsidRPr="00763624" w14:paraId="29B23E9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B4F3685" w14:textId="77777777" w:rsidR="00763624" w:rsidRPr="00763624" w:rsidRDefault="00763624" w:rsidP="00763624">
            <w:pPr>
              <w:snapToGrid w:val="0"/>
              <w:spacing w:after="0" w:line="160" w:lineRule="atLeast"/>
            </w:pPr>
            <w:r w:rsidRPr="00763624">
              <w:rPr>
                <w:b/>
                <w:bCs/>
              </w:rPr>
              <w:t>ceftazidime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8EB65EE" w14:textId="77777777" w:rsidR="00763624" w:rsidRPr="00763624" w:rsidRDefault="00763624" w:rsidP="00763624">
            <w:pPr>
              <w:snapToGrid w:val="0"/>
              <w:spacing w:after="0" w:line="160" w:lineRule="atLeast"/>
            </w:pPr>
            <w:r w:rsidRPr="00763624">
              <w:t>parenteral</w:t>
            </w:r>
          </w:p>
        </w:tc>
      </w:tr>
      <w:tr w:rsidR="00763624" w:rsidRPr="00763624" w14:paraId="03BA474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6180C9C" w14:textId="77777777" w:rsidR="00763624" w:rsidRPr="00763624" w:rsidRDefault="00763624" w:rsidP="00763624">
            <w:pPr>
              <w:snapToGrid w:val="0"/>
              <w:spacing w:after="0" w:line="160" w:lineRule="atLeast"/>
            </w:pPr>
            <w:r w:rsidRPr="00763624">
              <w:rPr>
                <w:b/>
                <w:bCs/>
              </w:rPr>
              <w:t>ceftobiprole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A889C6" w14:textId="77777777" w:rsidR="00763624" w:rsidRPr="00763624" w:rsidRDefault="00763624" w:rsidP="00763624">
            <w:pPr>
              <w:snapToGrid w:val="0"/>
              <w:spacing w:after="0" w:line="160" w:lineRule="atLeast"/>
            </w:pPr>
            <w:r w:rsidRPr="00763624">
              <w:t>parenteral</w:t>
            </w:r>
          </w:p>
        </w:tc>
      </w:tr>
      <w:tr w:rsidR="00763624" w:rsidRPr="00763624" w14:paraId="3496DFE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C4C1F52" w14:textId="77777777" w:rsidR="00763624" w:rsidRPr="00763624" w:rsidRDefault="00763624" w:rsidP="00763624">
            <w:pPr>
              <w:snapToGrid w:val="0"/>
              <w:spacing w:after="0" w:line="160" w:lineRule="atLeast"/>
            </w:pPr>
            <w:r w:rsidRPr="00763624">
              <w:rPr>
                <w:b/>
                <w:bCs/>
              </w:rPr>
              <w:t>ceftriaxone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F5A41B1" w14:textId="77777777" w:rsidR="00763624" w:rsidRPr="00763624" w:rsidRDefault="00763624" w:rsidP="00763624">
            <w:pPr>
              <w:snapToGrid w:val="0"/>
              <w:spacing w:after="0" w:line="160" w:lineRule="atLeast"/>
            </w:pPr>
            <w:r w:rsidRPr="00763624">
              <w:t>parenteral</w:t>
            </w:r>
          </w:p>
        </w:tc>
      </w:tr>
      <w:tr w:rsidR="00763624" w:rsidRPr="00763624" w14:paraId="214E1E3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B191231" w14:textId="77777777" w:rsidR="00763624" w:rsidRPr="00763624" w:rsidRDefault="00763624" w:rsidP="00763624">
            <w:pPr>
              <w:snapToGrid w:val="0"/>
              <w:spacing w:after="0" w:line="160" w:lineRule="atLeast"/>
            </w:pPr>
            <w:r w:rsidRPr="00763624">
              <w:rPr>
                <w:b/>
                <w:bCs/>
              </w:rPr>
              <w:t>cefuroxime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BDB90C8" w14:textId="77777777" w:rsidR="00763624" w:rsidRPr="00763624" w:rsidRDefault="00763624" w:rsidP="00763624">
            <w:pPr>
              <w:snapToGrid w:val="0"/>
              <w:spacing w:after="0" w:line="160" w:lineRule="atLeast"/>
            </w:pPr>
            <w:r w:rsidRPr="00763624">
              <w:t>parenteral</w:t>
            </w:r>
          </w:p>
        </w:tc>
      </w:tr>
      <w:tr w:rsidR="00763624" w:rsidRPr="00763624" w14:paraId="2E56448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CEA5B2E" w14:textId="77777777" w:rsidR="00763624" w:rsidRPr="00763624" w:rsidRDefault="00763624" w:rsidP="00763624">
            <w:pPr>
              <w:snapToGrid w:val="0"/>
              <w:spacing w:after="0" w:line="160" w:lineRule="atLeast"/>
            </w:pPr>
            <w:proofErr w:type="spellStart"/>
            <w:r w:rsidRPr="00763624">
              <w:rPr>
                <w:b/>
                <w:bCs/>
              </w:rPr>
              <w:t>cemiplimab</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5B8D1D2" w14:textId="77777777" w:rsidR="00763624" w:rsidRPr="00763624" w:rsidRDefault="00763624" w:rsidP="00763624">
            <w:pPr>
              <w:snapToGrid w:val="0"/>
              <w:spacing w:after="0" w:line="160" w:lineRule="atLeast"/>
            </w:pPr>
            <w:r w:rsidRPr="00763624">
              <w:t>parenteral</w:t>
            </w:r>
          </w:p>
        </w:tc>
      </w:tr>
      <w:tr w:rsidR="00763624" w:rsidRPr="00763624" w14:paraId="20D7CDD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E8F9D59" w14:textId="77777777" w:rsidR="00763624" w:rsidRPr="00763624" w:rsidRDefault="00763624" w:rsidP="00763624">
            <w:pPr>
              <w:snapToGrid w:val="0"/>
              <w:spacing w:after="0" w:line="160" w:lineRule="atLeast"/>
            </w:pPr>
            <w:proofErr w:type="spellStart"/>
            <w:r w:rsidRPr="00763624">
              <w:rPr>
                <w:b/>
                <w:bCs/>
              </w:rPr>
              <w:t>cerliponase</w:t>
            </w:r>
            <w:proofErr w:type="spellEnd"/>
            <w:r w:rsidRPr="00763624">
              <w:rPr>
                <w:b/>
                <w:bCs/>
              </w:rPr>
              <w:t xml:space="preserve"> alfa</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9442EA" w14:textId="77777777" w:rsidR="00763624" w:rsidRPr="00763624" w:rsidRDefault="00763624" w:rsidP="00763624">
            <w:pPr>
              <w:snapToGrid w:val="0"/>
              <w:spacing w:after="0" w:line="160" w:lineRule="atLeast"/>
            </w:pPr>
            <w:r w:rsidRPr="00763624">
              <w:t>parenteral</w:t>
            </w:r>
          </w:p>
        </w:tc>
      </w:tr>
      <w:tr w:rsidR="00763624" w:rsidRPr="00763624" w14:paraId="7B850D9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200B236" w14:textId="77777777" w:rsidR="00763624" w:rsidRPr="00763624" w:rsidRDefault="00763624" w:rsidP="00763624">
            <w:pPr>
              <w:snapToGrid w:val="0"/>
              <w:spacing w:after="0" w:line="160" w:lineRule="atLeast"/>
            </w:pPr>
            <w:r w:rsidRPr="00763624">
              <w:rPr>
                <w:b/>
                <w:bCs/>
              </w:rPr>
              <w:t>ciprofloxacin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FC173D2" w14:textId="77777777" w:rsidR="00763624" w:rsidRPr="00763624" w:rsidRDefault="00763624" w:rsidP="00763624">
            <w:pPr>
              <w:snapToGrid w:val="0"/>
              <w:spacing w:after="0" w:line="160" w:lineRule="atLeast"/>
            </w:pPr>
            <w:r w:rsidRPr="00763624">
              <w:t>oral</w:t>
            </w:r>
          </w:p>
        </w:tc>
      </w:tr>
      <w:tr w:rsidR="00763624" w:rsidRPr="00763624" w14:paraId="01B3420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672C94" w14:textId="77777777" w:rsidR="00763624" w:rsidRPr="00763624" w:rsidRDefault="00763624" w:rsidP="00763624">
            <w:pPr>
              <w:snapToGrid w:val="0"/>
              <w:spacing w:after="0" w:line="160" w:lineRule="atLeast"/>
            </w:pPr>
            <w:r w:rsidRPr="00763624">
              <w:rPr>
                <w:b/>
                <w:bCs/>
              </w:rPr>
              <w:t>clindamycin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325F1A0" w14:textId="77777777" w:rsidR="00763624" w:rsidRPr="00763624" w:rsidRDefault="00763624" w:rsidP="00763624">
            <w:pPr>
              <w:snapToGrid w:val="0"/>
              <w:spacing w:after="0" w:line="160" w:lineRule="atLeast"/>
            </w:pPr>
            <w:r w:rsidRPr="00763624">
              <w:t>parenteral</w:t>
            </w:r>
          </w:p>
        </w:tc>
      </w:tr>
      <w:tr w:rsidR="00763624" w:rsidRPr="00763624" w14:paraId="2FE6CBB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4F88AD0" w14:textId="77777777" w:rsidR="00763624" w:rsidRPr="00763624" w:rsidRDefault="00763624" w:rsidP="00763624">
            <w:pPr>
              <w:snapToGrid w:val="0"/>
              <w:spacing w:after="0" w:line="160" w:lineRule="atLeast"/>
            </w:pPr>
            <w:r w:rsidRPr="00763624">
              <w:rPr>
                <w:b/>
                <w:bCs/>
              </w:rPr>
              <w:t>cloxacillin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DF234F7" w14:textId="77777777" w:rsidR="00763624" w:rsidRPr="00763624" w:rsidRDefault="00763624" w:rsidP="00763624">
            <w:pPr>
              <w:snapToGrid w:val="0"/>
              <w:spacing w:after="0" w:line="160" w:lineRule="atLeast"/>
            </w:pPr>
            <w:r w:rsidRPr="00763624">
              <w:t>parenteral</w:t>
            </w:r>
          </w:p>
        </w:tc>
      </w:tr>
      <w:tr w:rsidR="00763624" w:rsidRPr="00763624" w14:paraId="2D7D5ED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420DE41" w14:textId="77777777" w:rsidR="00763624" w:rsidRPr="00763624" w:rsidRDefault="00763624" w:rsidP="00763624">
            <w:pPr>
              <w:snapToGrid w:val="0"/>
              <w:spacing w:after="0" w:line="160" w:lineRule="atLeast"/>
            </w:pPr>
            <w:r w:rsidRPr="00763624">
              <w:rPr>
                <w:b/>
                <w:bCs/>
              </w:rPr>
              <w:t>coagulation factor II, VII, IX and X</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BFB29BF" w14:textId="77777777" w:rsidR="00763624" w:rsidRPr="00763624" w:rsidRDefault="00763624" w:rsidP="00763624">
            <w:pPr>
              <w:snapToGrid w:val="0"/>
              <w:spacing w:after="0" w:line="160" w:lineRule="atLeast"/>
            </w:pPr>
            <w:r w:rsidRPr="00763624">
              <w:t>parenteral</w:t>
            </w:r>
          </w:p>
        </w:tc>
      </w:tr>
      <w:tr w:rsidR="00763624" w:rsidRPr="00763624" w14:paraId="276DE45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DABA7B5" w14:textId="77777777" w:rsidR="00763624" w:rsidRPr="00763624" w:rsidRDefault="00763624" w:rsidP="00763624">
            <w:pPr>
              <w:snapToGrid w:val="0"/>
              <w:spacing w:after="0" w:line="160" w:lineRule="atLeast"/>
            </w:pPr>
            <w:r w:rsidRPr="00763624">
              <w:rPr>
                <w:b/>
                <w:bCs/>
              </w:rPr>
              <w:t>coagulation factor VIII</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D4DA989" w14:textId="77777777" w:rsidR="00763624" w:rsidRPr="00763624" w:rsidRDefault="00763624" w:rsidP="00763624">
            <w:pPr>
              <w:snapToGrid w:val="0"/>
              <w:spacing w:after="0" w:line="160" w:lineRule="atLeast"/>
            </w:pPr>
            <w:r w:rsidRPr="00763624">
              <w:t>parenteral</w:t>
            </w:r>
          </w:p>
        </w:tc>
      </w:tr>
      <w:tr w:rsidR="00763624" w:rsidRPr="00763624" w14:paraId="7E685D2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DE4D00" w14:textId="77777777" w:rsidR="00763624" w:rsidRPr="00763624" w:rsidRDefault="00763624" w:rsidP="00763624">
            <w:pPr>
              <w:snapToGrid w:val="0"/>
              <w:spacing w:after="0" w:line="160" w:lineRule="atLeast"/>
            </w:pPr>
            <w:r w:rsidRPr="00763624">
              <w:rPr>
                <w:b/>
                <w:bCs/>
              </w:rPr>
              <w:t>coagulation factor VIII and von Willebrand factor</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43CDFF4" w14:textId="77777777" w:rsidR="00763624" w:rsidRPr="00763624" w:rsidRDefault="00763624" w:rsidP="00763624">
            <w:pPr>
              <w:snapToGrid w:val="0"/>
              <w:spacing w:after="0" w:line="160" w:lineRule="atLeast"/>
            </w:pPr>
            <w:r w:rsidRPr="00763624">
              <w:t>parenteral</w:t>
            </w:r>
          </w:p>
        </w:tc>
      </w:tr>
      <w:tr w:rsidR="00763624" w:rsidRPr="00763624" w14:paraId="15242AC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4CA358D" w14:textId="77777777" w:rsidR="00763624" w:rsidRPr="00763624" w:rsidRDefault="00763624" w:rsidP="00763624">
            <w:pPr>
              <w:snapToGrid w:val="0"/>
              <w:spacing w:after="0" w:line="160" w:lineRule="atLeast"/>
            </w:pPr>
            <w:r w:rsidRPr="00763624">
              <w:rPr>
                <w:b/>
                <w:bCs/>
              </w:rPr>
              <w:t>coagulation factor XIII</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C752548" w14:textId="77777777" w:rsidR="00763624" w:rsidRPr="00763624" w:rsidRDefault="00763624" w:rsidP="00763624">
            <w:pPr>
              <w:snapToGrid w:val="0"/>
              <w:spacing w:after="0" w:line="160" w:lineRule="atLeast"/>
            </w:pPr>
            <w:r w:rsidRPr="00763624">
              <w:t>parenteral</w:t>
            </w:r>
          </w:p>
        </w:tc>
      </w:tr>
      <w:tr w:rsidR="00763624" w:rsidRPr="00763624" w14:paraId="7235079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78AC6AD" w14:textId="77777777" w:rsidR="00763624" w:rsidRPr="00763624" w:rsidRDefault="00763624" w:rsidP="00763624">
            <w:pPr>
              <w:snapToGrid w:val="0"/>
              <w:spacing w:after="0" w:line="160" w:lineRule="atLeast"/>
            </w:pPr>
            <w:r w:rsidRPr="00763624">
              <w:rPr>
                <w:b/>
                <w:bCs/>
              </w:rPr>
              <w:t>cyclophosphamide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1F4AA46" w14:textId="77777777" w:rsidR="00763624" w:rsidRPr="00763624" w:rsidRDefault="00763624" w:rsidP="00763624">
            <w:pPr>
              <w:snapToGrid w:val="0"/>
              <w:spacing w:after="0" w:line="160" w:lineRule="atLeast"/>
            </w:pPr>
            <w:r w:rsidRPr="00763624">
              <w:t>parenteral</w:t>
            </w:r>
          </w:p>
        </w:tc>
      </w:tr>
      <w:tr w:rsidR="00763624" w:rsidRPr="00763624" w14:paraId="127F71E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770DC42" w14:textId="77777777" w:rsidR="00763624" w:rsidRPr="00763624" w:rsidRDefault="00763624" w:rsidP="00763624">
            <w:pPr>
              <w:snapToGrid w:val="0"/>
              <w:spacing w:after="0" w:line="160" w:lineRule="atLeast"/>
            </w:pPr>
            <w:r w:rsidRPr="00763624">
              <w:rPr>
                <w:b/>
                <w:bCs/>
              </w:rPr>
              <w:t>daptomycin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FBEB701" w14:textId="77777777" w:rsidR="00763624" w:rsidRPr="00763624" w:rsidRDefault="00763624" w:rsidP="00763624">
            <w:pPr>
              <w:snapToGrid w:val="0"/>
              <w:spacing w:after="0" w:line="160" w:lineRule="atLeast"/>
            </w:pPr>
            <w:r w:rsidRPr="00763624">
              <w:t>parenteral</w:t>
            </w:r>
          </w:p>
        </w:tc>
      </w:tr>
      <w:tr w:rsidR="00763624" w:rsidRPr="00763624" w14:paraId="2DD06A7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E41DB99" w14:textId="77777777" w:rsidR="00763624" w:rsidRPr="00763624" w:rsidRDefault="00763624" w:rsidP="00763624">
            <w:pPr>
              <w:snapToGrid w:val="0"/>
              <w:spacing w:after="0" w:line="160" w:lineRule="atLeast"/>
            </w:pPr>
            <w:r w:rsidRPr="00763624">
              <w:rPr>
                <w:b/>
                <w:bCs/>
              </w:rPr>
              <w:t>daratumumab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926242" w14:textId="77777777" w:rsidR="00763624" w:rsidRPr="00763624" w:rsidRDefault="00763624" w:rsidP="00763624">
            <w:pPr>
              <w:snapToGrid w:val="0"/>
              <w:spacing w:after="0" w:line="160" w:lineRule="atLeast"/>
            </w:pPr>
            <w:r w:rsidRPr="00763624">
              <w:t>parenteral</w:t>
            </w:r>
          </w:p>
        </w:tc>
      </w:tr>
      <w:tr w:rsidR="00763624" w:rsidRPr="00763624" w14:paraId="62573D2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F917E66" w14:textId="77777777" w:rsidR="00763624" w:rsidRPr="00763624" w:rsidRDefault="00763624" w:rsidP="00763624">
            <w:pPr>
              <w:snapToGrid w:val="0"/>
              <w:spacing w:after="0" w:line="160" w:lineRule="atLeast"/>
            </w:pPr>
            <w:r w:rsidRPr="00763624">
              <w:rPr>
                <w:b/>
                <w:bCs/>
              </w:rPr>
              <w:t>deferoxamine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BAACBBE" w14:textId="77777777" w:rsidR="00763624" w:rsidRPr="00763624" w:rsidRDefault="00763624" w:rsidP="00763624">
            <w:pPr>
              <w:snapToGrid w:val="0"/>
              <w:spacing w:after="0" w:line="160" w:lineRule="atLeast"/>
            </w:pPr>
            <w:r w:rsidRPr="00763624">
              <w:t>parenteral</w:t>
            </w:r>
          </w:p>
        </w:tc>
      </w:tr>
      <w:tr w:rsidR="00763624" w:rsidRPr="00763624" w14:paraId="3D8FBC0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7D29248" w14:textId="77777777" w:rsidR="00763624" w:rsidRPr="00763624" w:rsidRDefault="00763624" w:rsidP="00763624">
            <w:pPr>
              <w:snapToGrid w:val="0"/>
              <w:spacing w:after="0" w:line="160" w:lineRule="atLeast"/>
            </w:pPr>
            <w:r w:rsidRPr="00763624">
              <w:rPr>
                <w:b/>
                <w:bCs/>
              </w:rPr>
              <w:t>defibrotide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442B111" w14:textId="77777777" w:rsidR="00763624" w:rsidRPr="00763624" w:rsidRDefault="00763624" w:rsidP="00763624">
            <w:pPr>
              <w:snapToGrid w:val="0"/>
              <w:spacing w:after="0" w:line="160" w:lineRule="atLeast"/>
            </w:pPr>
            <w:r w:rsidRPr="00763624">
              <w:t>parenteral</w:t>
            </w:r>
          </w:p>
        </w:tc>
      </w:tr>
      <w:tr w:rsidR="00763624" w:rsidRPr="00763624" w14:paraId="042EDCE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E2C62AE" w14:textId="77777777" w:rsidR="00763624" w:rsidRPr="00763624" w:rsidRDefault="00763624" w:rsidP="00763624">
            <w:pPr>
              <w:snapToGrid w:val="0"/>
              <w:spacing w:after="0" w:line="160" w:lineRule="atLeast"/>
            </w:pPr>
            <w:r w:rsidRPr="00763624">
              <w:rPr>
                <w:b/>
                <w:bCs/>
              </w:rPr>
              <w:t>desmopressin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7D291C4" w14:textId="77777777" w:rsidR="00763624" w:rsidRPr="00763624" w:rsidRDefault="00763624" w:rsidP="00763624">
            <w:pPr>
              <w:snapToGrid w:val="0"/>
              <w:spacing w:after="0" w:line="160" w:lineRule="atLeast"/>
            </w:pPr>
            <w:r w:rsidRPr="00763624">
              <w:t>parenteral</w:t>
            </w:r>
          </w:p>
        </w:tc>
      </w:tr>
      <w:tr w:rsidR="00763624" w:rsidRPr="00763624" w14:paraId="1B83191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4DD5573" w14:textId="77777777" w:rsidR="00763624" w:rsidRPr="00763624" w:rsidRDefault="00763624" w:rsidP="00763624">
            <w:pPr>
              <w:snapToGrid w:val="0"/>
              <w:spacing w:after="0" w:line="160" w:lineRule="atLeast"/>
            </w:pPr>
            <w:r w:rsidRPr="00763624">
              <w:rPr>
                <w:b/>
                <w:bCs/>
              </w:rPr>
              <w:t>dexamethasone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23D3DA" w14:textId="77777777" w:rsidR="00763624" w:rsidRPr="00763624" w:rsidRDefault="00763624" w:rsidP="00763624">
            <w:pPr>
              <w:snapToGrid w:val="0"/>
              <w:spacing w:after="0" w:line="160" w:lineRule="atLeast"/>
            </w:pPr>
            <w:r w:rsidRPr="00763624">
              <w:t>parenteral</w:t>
            </w:r>
          </w:p>
        </w:tc>
      </w:tr>
      <w:tr w:rsidR="00763624" w:rsidRPr="00763624" w14:paraId="4F23DC7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F65E7AA" w14:textId="77777777" w:rsidR="00763624" w:rsidRPr="00763624" w:rsidRDefault="00763624" w:rsidP="00763624">
            <w:pPr>
              <w:snapToGrid w:val="0"/>
              <w:spacing w:after="0" w:line="160" w:lineRule="atLeast"/>
            </w:pPr>
            <w:r w:rsidRPr="00763624">
              <w:rPr>
                <w:b/>
                <w:bCs/>
              </w:rPr>
              <w:t>dextrose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3751E9A" w14:textId="77777777" w:rsidR="00763624" w:rsidRPr="00763624" w:rsidRDefault="00763624" w:rsidP="00763624">
            <w:pPr>
              <w:snapToGrid w:val="0"/>
              <w:spacing w:after="0" w:line="160" w:lineRule="atLeast"/>
            </w:pPr>
            <w:r w:rsidRPr="00763624">
              <w:t>parenteral</w:t>
            </w:r>
          </w:p>
        </w:tc>
      </w:tr>
      <w:tr w:rsidR="00763624" w:rsidRPr="00763624" w14:paraId="5894BE0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DCE08B1" w14:textId="77777777" w:rsidR="00763624" w:rsidRPr="00763624" w:rsidRDefault="00763624" w:rsidP="00763624">
            <w:pPr>
              <w:snapToGrid w:val="0"/>
              <w:spacing w:after="0" w:line="160" w:lineRule="atLeast"/>
            </w:pPr>
            <w:r w:rsidRPr="00763624">
              <w:rPr>
                <w:b/>
                <w:bCs/>
              </w:rPr>
              <w:t>dextrose and heparin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4303602" w14:textId="77777777" w:rsidR="00763624" w:rsidRPr="00763624" w:rsidRDefault="00763624" w:rsidP="00763624">
            <w:pPr>
              <w:snapToGrid w:val="0"/>
              <w:spacing w:after="0" w:line="160" w:lineRule="atLeast"/>
            </w:pPr>
            <w:r w:rsidRPr="00763624">
              <w:t>parenteral</w:t>
            </w:r>
          </w:p>
        </w:tc>
      </w:tr>
      <w:tr w:rsidR="00763624" w:rsidRPr="00763624" w14:paraId="7B3A18C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D4BAB99" w14:textId="77777777" w:rsidR="00763624" w:rsidRPr="00763624" w:rsidRDefault="00763624" w:rsidP="00763624">
            <w:pPr>
              <w:snapToGrid w:val="0"/>
              <w:spacing w:after="0" w:line="160" w:lineRule="atLeast"/>
            </w:pPr>
            <w:r w:rsidRPr="00763624">
              <w:rPr>
                <w:b/>
                <w:bCs/>
              </w:rPr>
              <w:t>dextrose and sodium chloride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B02F33C" w14:textId="77777777" w:rsidR="00763624" w:rsidRPr="00763624" w:rsidRDefault="00763624" w:rsidP="00763624">
            <w:pPr>
              <w:snapToGrid w:val="0"/>
              <w:spacing w:after="0" w:line="160" w:lineRule="atLeast"/>
            </w:pPr>
            <w:r w:rsidRPr="00763624">
              <w:t>parenteral</w:t>
            </w:r>
          </w:p>
        </w:tc>
      </w:tr>
      <w:tr w:rsidR="00763624" w:rsidRPr="00763624" w14:paraId="0957BD0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ED5EEF8" w14:textId="77777777" w:rsidR="00763624" w:rsidRPr="00763624" w:rsidRDefault="00763624" w:rsidP="00763624">
            <w:pPr>
              <w:snapToGrid w:val="0"/>
              <w:spacing w:after="0" w:line="160" w:lineRule="atLeast"/>
            </w:pPr>
            <w:r w:rsidRPr="00763624">
              <w:rPr>
                <w:b/>
                <w:bCs/>
              </w:rPr>
              <w:t>diazepam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03DAE61" w14:textId="77777777" w:rsidR="00763624" w:rsidRPr="00763624" w:rsidRDefault="00763624" w:rsidP="00763624">
            <w:pPr>
              <w:snapToGrid w:val="0"/>
              <w:spacing w:after="0" w:line="160" w:lineRule="atLeast"/>
            </w:pPr>
            <w:r w:rsidRPr="00763624">
              <w:t>oral, parenteral</w:t>
            </w:r>
          </w:p>
        </w:tc>
      </w:tr>
      <w:tr w:rsidR="00763624" w:rsidRPr="00763624" w14:paraId="2D53A43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5FC27F1" w14:textId="77777777" w:rsidR="00763624" w:rsidRPr="00763624" w:rsidRDefault="00763624" w:rsidP="00763624">
            <w:pPr>
              <w:snapToGrid w:val="0"/>
              <w:spacing w:after="0" w:line="160" w:lineRule="atLeast"/>
            </w:pPr>
            <w:r w:rsidRPr="00763624">
              <w:rPr>
                <w:b/>
                <w:bCs/>
              </w:rPr>
              <w:lastRenderedPageBreak/>
              <w:t>diphtheria and tetanus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594ECF8" w14:textId="77777777" w:rsidR="00763624" w:rsidRPr="00763624" w:rsidRDefault="00763624" w:rsidP="00763624">
            <w:pPr>
              <w:snapToGrid w:val="0"/>
              <w:spacing w:after="0" w:line="160" w:lineRule="atLeast"/>
            </w:pPr>
            <w:r w:rsidRPr="00763624">
              <w:t>parenteral</w:t>
            </w:r>
          </w:p>
        </w:tc>
      </w:tr>
      <w:tr w:rsidR="00763624" w:rsidRPr="00763624" w14:paraId="4873C85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CCF7558" w14:textId="77777777" w:rsidR="00763624" w:rsidRPr="00763624" w:rsidRDefault="00763624" w:rsidP="00763624">
            <w:pPr>
              <w:snapToGrid w:val="0"/>
              <w:spacing w:after="0" w:line="160" w:lineRule="atLeast"/>
            </w:pPr>
            <w:r w:rsidRPr="00763624">
              <w:rPr>
                <w:b/>
                <w:bCs/>
              </w:rPr>
              <w:t xml:space="preserve">diphtheria, </w:t>
            </w:r>
            <w:proofErr w:type="spellStart"/>
            <w:r w:rsidRPr="00763624">
              <w:rPr>
                <w:b/>
                <w:bCs/>
              </w:rPr>
              <w:t>haemophilus</w:t>
            </w:r>
            <w:proofErr w:type="spellEnd"/>
            <w:r w:rsidRPr="00763624">
              <w:rPr>
                <w:b/>
                <w:bCs/>
              </w:rPr>
              <w:t xml:space="preserve"> influenzae B, hepatitis B, pertussis, polio and tetanus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D5A6FB" w14:textId="77777777" w:rsidR="00763624" w:rsidRPr="00763624" w:rsidRDefault="00763624" w:rsidP="00763624">
            <w:pPr>
              <w:snapToGrid w:val="0"/>
              <w:spacing w:after="0" w:line="160" w:lineRule="atLeast"/>
            </w:pPr>
            <w:r w:rsidRPr="00763624">
              <w:t>parenteral</w:t>
            </w:r>
          </w:p>
        </w:tc>
      </w:tr>
      <w:tr w:rsidR="00763624" w:rsidRPr="00763624" w14:paraId="6F6C8DA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CD8C32A" w14:textId="77777777" w:rsidR="00763624" w:rsidRPr="00763624" w:rsidRDefault="00763624" w:rsidP="00763624">
            <w:pPr>
              <w:snapToGrid w:val="0"/>
              <w:spacing w:after="0" w:line="160" w:lineRule="atLeast"/>
            </w:pPr>
            <w:r w:rsidRPr="00763624">
              <w:rPr>
                <w:b/>
                <w:bCs/>
              </w:rPr>
              <w:t xml:space="preserve">diphtheria, </w:t>
            </w:r>
            <w:proofErr w:type="spellStart"/>
            <w:r w:rsidRPr="00763624">
              <w:rPr>
                <w:b/>
                <w:bCs/>
              </w:rPr>
              <w:t>haemophilus</w:t>
            </w:r>
            <w:proofErr w:type="spellEnd"/>
            <w:r w:rsidRPr="00763624">
              <w:rPr>
                <w:b/>
                <w:bCs/>
              </w:rPr>
              <w:t xml:space="preserve"> influenzae B, pertussis, polio and tetanus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2C3DFC6" w14:textId="77777777" w:rsidR="00763624" w:rsidRPr="00763624" w:rsidRDefault="00763624" w:rsidP="00763624">
            <w:pPr>
              <w:snapToGrid w:val="0"/>
              <w:spacing w:after="0" w:line="160" w:lineRule="atLeast"/>
            </w:pPr>
            <w:r w:rsidRPr="00763624">
              <w:t>parenteral</w:t>
            </w:r>
          </w:p>
        </w:tc>
      </w:tr>
      <w:tr w:rsidR="00763624" w:rsidRPr="00763624" w14:paraId="1AE80C8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28296D5" w14:textId="77777777" w:rsidR="00763624" w:rsidRPr="00763624" w:rsidRDefault="00763624" w:rsidP="00763624">
            <w:pPr>
              <w:snapToGrid w:val="0"/>
              <w:spacing w:after="0" w:line="160" w:lineRule="atLeast"/>
            </w:pPr>
            <w:r w:rsidRPr="00763624">
              <w:rPr>
                <w:b/>
                <w:bCs/>
              </w:rPr>
              <w:t>diphtheria, pertussis and tetanus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6E14384" w14:textId="77777777" w:rsidR="00763624" w:rsidRPr="00763624" w:rsidRDefault="00763624" w:rsidP="00763624">
            <w:pPr>
              <w:snapToGrid w:val="0"/>
              <w:spacing w:after="0" w:line="160" w:lineRule="atLeast"/>
            </w:pPr>
            <w:r w:rsidRPr="00763624">
              <w:t>parenteral</w:t>
            </w:r>
          </w:p>
        </w:tc>
      </w:tr>
      <w:tr w:rsidR="00763624" w:rsidRPr="00763624" w14:paraId="0DCB14E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3345368" w14:textId="77777777" w:rsidR="00763624" w:rsidRPr="00763624" w:rsidRDefault="00763624" w:rsidP="00763624">
            <w:pPr>
              <w:snapToGrid w:val="0"/>
              <w:spacing w:after="0" w:line="160" w:lineRule="atLeast"/>
            </w:pPr>
            <w:r w:rsidRPr="00763624">
              <w:rPr>
                <w:b/>
                <w:bCs/>
              </w:rPr>
              <w:t>diphtheria, pertussis, polio and tetanus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9708C82" w14:textId="77777777" w:rsidR="00763624" w:rsidRPr="00763624" w:rsidRDefault="00763624" w:rsidP="00763624">
            <w:pPr>
              <w:snapToGrid w:val="0"/>
              <w:spacing w:after="0" w:line="160" w:lineRule="atLeast"/>
            </w:pPr>
            <w:r w:rsidRPr="00763624">
              <w:t>parenteral</w:t>
            </w:r>
          </w:p>
        </w:tc>
      </w:tr>
      <w:tr w:rsidR="00763624" w:rsidRPr="00763624" w14:paraId="3E67ACB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2ED5B79" w14:textId="77777777" w:rsidR="00763624" w:rsidRPr="00763624" w:rsidRDefault="00763624" w:rsidP="00763624">
            <w:pPr>
              <w:snapToGrid w:val="0"/>
              <w:spacing w:after="0" w:line="160" w:lineRule="atLeast"/>
            </w:pPr>
            <w:r w:rsidRPr="00763624">
              <w:rPr>
                <w:b/>
                <w:bCs/>
              </w:rPr>
              <w:t>doxorubicin</w:t>
            </w:r>
            <w:r w:rsidRPr="00763624">
              <w:t> (liposomal form)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DB1956" w14:textId="77777777" w:rsidR="00763624" w:rsidRPr="00763624" w:rsidRDefault="00763624" w:rsidP="00763624">
            <w:pPr>
              <w:snapToGrid w:val="0"/>
              <w:spacing w:after="0" w:line="160" w:lineRule="atLeast"/>
            </w:pPr>
            <w:r w:rsidRPr="00763624">
              <w:t>parenteral</w:t>
            </w:r>
          </w:p>
        </w:tc>
      </w:tr>
      <w:tr w:rsidR="00763624" w:rsidRPr="00763624" w14:paraId="5FE368D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58E1D6" w14:textId="77777777" w:rsidR="00763624" w:rsidRPr="00763624" w:rsidRDefault="00763624" w:rsidP="00763624">
            <w:pPr>
              <w:snapToGrid w:val="0"/>
              <w:spacing w:after="0" w:line="160" w:lineRule="atLeast"/>
            </w:pPr>
            <w:r w:rsidRPr="00763624">
              <w:rPr>
                <w:b/>
                <w:bCs/>
              </w:rPr>
              <w:t>durvalumab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EDC98EC" w14:textId="77777777" w:rsidR="00763624" w:rsidRPr="00763624" w:rsidRDefault="00763624" w:rsidP="00763624">
            <w:pPr>
              <w:snapToGrid w:val="0"/>
              <w:spacing w:after="0" w:line="160" w:lineRule="atLeast"/>
            </w:pPr>
            <w:r w:rsidRPr="00763624">
              <w:t>parenteral</w:t>
            </w:r>
          </w:p>
        </w:tc>
      </w:tr>
      <w:tr w:rsidR="00763624" w:rsidRPr="00763624" w14:paraId="161E0F3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23977B7" w14:textId="77777777" w:rsidR="00763624" w:rsidRPr="00763624" w:rsidRDefault="00763624" w:rsidP="00763624">
            <w:pPr>
              <w:snapToGrid w:val="0"/>
              <w:spacing w:after="0" w:line="160" w:lineRule="atLeast"/>
            </w:pPr>
            <w:proofErr w:type="spellStart"/>
            <w:r w:rsidRPr="00763624">
              <w:rPr>
                <w:b/>
                <w:bCs/>
              </w:rPr>
              <w:t>enfortumab</w:t>
            </w:r>
            <w:proofErr w:type="spellEnd"/>
            <w:r w:rsidRPr="00763624">
              <w:rPr>
                <w:b/>
                <w:bCs/>
              </w:rPr>
              <w:t xml:space="preserve"> </w:t>
            </w:r>
            <w:proofErr w:type="spellStart"/>
            <w:r w:rsidRPr="00763624">
              <w:rPr>
                <w:b/>
                <w:bCs/>
              </w:rPr>
              <w:t>vedotin</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B27421" w14:textId="77777777" w:rsidR="00763624" w:rsidRPr="00763624" w:rsidRDefault="00763624" w:rsidP="00763624">
            <w:pPr>
              <w:snapToGrid w:val="0"/>
              <w:spacing w:after="0" w:line="160" w:lineRule="atLeast"/>
            </w:pPr>
            <w:r w:rsidRPr="00763624">
              <w:t>parenteral</w:t>
            </w:r>
          </w:p>
        </w:tc>
      </w:tr>
      <w:tr w:rsidR="00763624" w:rsidRPr="00763624" w14:paraId="29C3CFB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A3AD381" w14:textId="77777777" w:rsidR="00763624" w:rsidRPr="00763624" w:rsidRDefault="00763624" w:rsidP="00763624">
            <w:pPr>
              <w:snapToGrid w:val="0"/>
              <w:spacing w:after="0" w:line="160" w:lineRule="atLeast"/>
            </w:pPr>
            <w:r w:rsidRPr="00763624">
              <w:rPr>
                <w:b/>
                <w:bCs/>
              </w:rPr>
              <w:t>epinephrine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DD0AE83" w14:textId="77777777" w:rsidR="00763624" w:rsidRPr="00763624" w:rsidRDefault="00763624" w:rsidP="00763624">
            <w:pPr>
              <w:snapToGrid w:val="0"/>
              <w:spacing w:after="0" w:line="160" w:lineRule="atLeast"/>
            </w:pPr>
            <w:r w:rsidRPr="00763624">
              <w:t>parenteral</w:t>
            </w:r>
          </w:p>
        </w:tc>
      </w:tr>
      <w:tr w:rsidR="00763624" w:rsidRPr="00763624" w14:paraId="23B634A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803E662" w14:textId="77777777" w:rsidR="00763624" w:rsidRPr="00763624" w:rsidRDefault="00763624" w:rsidP="00763624">
            <w:pPr>
              <w:snapToGrid w:val="0"/>
              <w:spacing w:after="0" w:line="160" w:lineRule="atLeast"/>
            </w:pPr>
            <w:r w:rsidRPr="00763624">
              <w:rPr>
                <w:b/>
                <w:bCs/>
              </w:rPr>
              <w:t>ertapenem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8AA2E12" w14:textId="77777777" w:rsidR="00763624" w:rsidRPr="00763624" w:rsidRDefault="00763624" w:rsidP="00763624">
            <w:pPr>
              <w:snapToGrid w:val="0"/>
              <w:spacing w:after="0" w:line="160" w:lineRule="atLeast"/>
            </w:pPr>
            <w:r w:rsidRPr="00763624">
              <w:t>parenteral</w:t>
            </w:r>
          </w:p>
        </w:tc>
      </w:tr>
      <w:tr w:rsidR="00763624" w:rsidRPr="00763624" w14:paraId="52FDFA6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00F4C94" w14:textId="77777777" w:rsidR="00763624" w:rsidRPr="00763624" w:rsidRDefault="00763624" w:rsidP="00763624">
            <w:pPr>
              <w:snapToGrid w:val="0"/>
              <w:spacing w:after="0" w:line="160" w:lineRule="atLeast"/>
            </w:pPr>
            <w:r w:rsidRPr="00763624">
              <w:rPr>
                <w:b/>
                <w:bCs/>
              </w:rPr>
              <w:t>ethambutol</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5F9960C" w14:textId="77777777" w:rsidR="00763624" w:rsidRPr="00763624" w:rsidRDefault="00763624" w:rsidP="00763624">
            <w:pPr>
              <w:snapToGrid w:val="0"/>
              <w:spacing w:after="0" w:line="160" w:lineRule="atLeast"/>
            </w:pPr>
            <w:r w:rsidRPr="00763624">
              <w:t>oral</w:t>
            </w:r>
          </w:p>
        </w:tc>
      </w:tr>
      <w:tr w:rsidR="00763624" w:rsidRPr="00763624" w14:paraId="0B1DF78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47B925C" w14:textId="77777777" w:rsidR="00763624" w:rsidRPr="00763624" w:rsidRDefault="00763624" w:rsidP="00763624">
            <w:pPr>
              <w:snapToGrid w:val="0"/>
              <w:spacing w:after="0" w:line="160" w:lineRule="atLeast"/>
            </w:pPr>
            <w:r w:rsidRPr="00763624">
              <w:rPr>
                <w:b/>
                <w:bCs/>
              </w:rPr>
              <w:t>fentanyl</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3AAD0ED" w14:textId="77777777" w:rsidR="00763624" w:rsidRPr="00763624" w:rsidRDefault="00763624" w:rsidP="00763624">
            <w:pPr>
              <w:snapToGrid w:val="0"/>
              <w:spacing w:after="0" w:line="160" w:lineRule="atLeast"/>
            </w:pPr>
            <w:r w:rsidRPr="00763624">
              <w:t>oral</w:t>
            </w:r>
          </w:p>
        </w:tc>
      </w:tr>
      <w:tr w:rsidR="00763624" w:rsidRPr="00763624" w14:paraId="729E7B3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7ADD14F" w14:textId="77777777" w:rsidR="00763624" w:rsidRPr="00763624" w:rsidRDefault="00763624" w:rsidP="00763624">
            <w:pPr>
              <w:snapToGrid w:val="0"/>
              <w:spacing w:after="0" w:line="160" w:lineRule="atLeast"/>
            </w:pPr>
            <w:r w:rsidRPr="00763624">
              <w:rPr>
                <w:b/>
                <w:bCs/>
              </w:rPr>
              <w:t>fibrinogen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2438052" w14:textId="77777777" w:rsidR="00763624" w:rsidRPr="00763624" w:rsidRDefault="00763624" w:rsidP="00763624">
            <w:pPr>
              <w:snapToGrid w:val="0"/>
              <w:spacing w:after="0" w:line="160" w:lineRule="atLeast"/>
            </w:pPr>
            <w:r w:rsidRPr="00763624">
              <w:t>parenteral</w:t>
            </w:r>
          </w:p>
        </w:tc>
      </w:tr>
      <w:tr w:rsidR="00763624" w:rsidRPr="00763624" w14:paraId="7E94D0B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4EACEDE" w14:textId="77777777" w:rsidR="00763624" w:rsidRPr="00763624" w:rsidRDefault="00763624" w:rsidP="00763624">
            <w:pPr>
              <w:snapToGrid w:val="0"/>
              <w:spacing w:after="0" w:line="160" w:lineRule="atLeast"/>
            </w:pPr>
            <w:r w:rsidRPr="00763624">
              <w:rPr>
                <w:b/>
                <w:bCs/>
              </w:rPr>
              <w:t>fluconazole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0F0737" w14:textId="77777777" w:rsidR="00763624" w:rsidRPr="00763624" w:rsidRDefault="00763624" w:rsidP="00763624">
            <w:pPr>
              <w:snapToGrid w:val="0"/>
              <w:spacing w:after="0" w:line="160" w:lineRule="atLeast"/>
            </w:pPr>
            <w:r w:rsidRPr="00763624">
              <w:t>parenteral</w:t>
            </w:r>
          </w:p>
        </w:tc>
      </w:tr>
      <w:tr w:rsidR="00763624" w:rsidRPr="00763624" w14:paraId="5F1D65D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E1934B0" w14:textId="77777777" w:rsidR="00763624" w:rsidRPr="00763624" w:rsidRDefault="00763624" w:rsidP="00763624">
            <w:pPr>
              <w:snapToGrid w:val="0"/>
              <w:spacing w:after="0" w:line="160" w:lineRule="atLeast"/>
            </w:pPr>
            <w:r w:rsidRPr="00763624">
              <w:rPr>
                <w:b/>
                <w:bCs/>
              </w:rPr>
              <w:t>flumazenil</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806FCD0" w14:textId="77777777" w:rsidR="00763624" w:rsidRPr="00763624" w:rsidRDefault="00763624" w:rsidP="00763624">
            <w:pPr>
              <w:snapToGrid w:val="0"/>
              <w:spacing w:after="0" w:line="160" w:lineRule="atLeast"/>
            </w:pPr>
            <w:r w:rsidRPr="00763624">
              <w:t>parenteral</w:t>
            </w:r>
          </w:p>
        </w:tc>
      </w:tr>
      <w:tr w:rsidR="00763624" w:rsidRPr="00763624" w14:paraId="7B0C84C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5D9D93B" w14:textId="77777777" w:rsidR="00763624" w:rsidRPr="00763624" w:rsidRDefault="00763624" w:rsidP="00763624">
            <w:pPr>
              <w:snapToGrid w:val="0"/>
              <w:spacing w:after="0" w:line="160" w:lineRule="atLeast"/>
            </w:pPr>
            <w:r w:rsidRPr="00763624">
              <w:rPr>
                <w:b/>
                <w:bCs/>
              </w:rPr>
              <w:t>fomepizole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16F6F46" w14:textId="77777777" w:rsidR="00763624" w:rsidRPr="00763624" w:rsidRDefault="00763624" w:rsidP="00763624">
            <w:pPr>
              <w:snapToGrid w:val="0"/>
              <w:spacing w:after="0" w:line="160" w:lineRule="atLeast"/>
            </w:pPr>
            <w:r w:rsidRPr="00763624">
              <w:t>parenteral</w:t>
            </w:r>
          </w:p>
        </w:tc>
      </w:tr>
      <w:tr w:rsidR="00763624" w:rsidRPr="00763624" w14:paraId="444A914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4FAB67" w14:textId="77777777" w:rsidR="00763624" w:rsidRPr="00763624" w:rsidRDefault="00763624" w:rsidP="00763624">
            <w:pPr>
              <w:snapToGrid w:val="0"/>
              <w:spacing w:after="0" w:line="160" w:lineRule="atLeast"/>
            </w:pPr>
            <w:r w:rsidRPr="00763624">
              <w:rPr>
                <w:b/>
                <w:bCs/>
              </w:rPr>
              <w:t>glucagon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D6F5CDE" w14:textId="77777777" w:rsidR="00763624" w:rsidRPr="00763624" w:rsidRDefault="00763624" w:rsidP="00763624">
            <w:pPr>
              <w:snapToGrid w:val="0"/>
              <w:spacing w:after="0" w:line="160" w:lineRule="atLeast"/>
            </w:pPr>
            <w:r w:rsidRPr="00763624">
              <w:t>parenteral</w:t>
            </w:r>
          </w:p>
        </w:tc>
      </w:tr>
      <w:tr w:rsidR="00763624" w:rsidRPr="00763624" w14:paraId="14FB1A7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BB5434F" w14:textId="77777777" w:rsidR="00763624" w:rsidRPr="00763624" w:rsidRDefault="00763624" w:rsidP="00763624">
            <w:pPr>
              <w:snapToGrid w:val="0"/>
              <w:spacing w:after="0" w:line="160" w:lineRule="atLeast"/>
            </w:pPr>
            <w:r w:rsidRPr="00763624">
              <w:rPr>
                <w:b/>
                <w:bCs/>
              </w:rPr>
              <w:t>heparin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3E43611" w14:textId="77777777" w:rsidR="00763624" w:rsidRPr="00763624" w:rsidRDefault="00763624" w:rsidP="00763624">
            <w:pPr>
              <w:snapToGrid w:val="0"/>
              <w:spacing w:after="0" w:line="160" w:lineRule="atLeast"/>
            </w:pPr>
            <w:r w:rsidRPr="00763624">
              <w:t>parenteral</w:t>
            </w:r>
          </w:p>
        </w:tc>
      </w:tr>
      <w:tr w:rsidR="00763624" w:rsidRPr="00763624" w14:paraId="2537D66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0343868" w14:textId="77777777" w:rsidR="00763624" w:rsidRPr="00763624" w:rsidRDefault="00763624" w:rsidP="00763624">
            <w:pPr>
              <w:snapToGrid w:val="0"/>
              <w:spacing w:after="0" w:line="160" w:lineRule="atLeast"/>
            </w:pPr>
            <w:r w:rsidRPr="00763624">
              <w:rPr>
                <w:b/>
                <w:bCs/>
              </w:rPr>
              <w:t>heparin and sodium chloride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E649F15" w14:textId="77777777" w:rsidR="00763624" w:rsidRPr="00763624" w:rsidRDefault="00763624" w:rsidP="00763624">
            <w:pPr>
              <w:snapToGrid w:val="0"/>
              <w:spacing w:after="0" w:line="160" w:lineRule="atLeast"/>
            </w:pPr>
            <w:r w:rsidRPr="00763624">
              <w:t>parenteral</w:t>
            </w:r>
          </w:p>
        </w:tc>
      </w:tr>
      <w:tr w:rsidR="00763624" w:rsidRPr="00763624" w14:paraId="197AF2C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A28F353" w14:textId="77777777" w:rsidR="00763624" w:rsidRPr="00763624" w:rsidRDefault="00763624" w:rsidP="00763624">
            <w:pPr>
              <w:snapToGrid w:val="0"/>
              <w:spacing w:after="0" w:line="160" w:lineRule="atLeast"/>
            </w:pPr>
            <w:r w:rsidRPr="00763624">
              <w:rPr>
                <w:b/>
                <w:bCs/>
              </w:rPr>
              <w:t>hepatitis B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00BA30D" w14:textId="77777777" w:rsidR="00763624" w:rsidRPr="00763624" w:rsidRDefault="00763624" w:rsidP="00763624">
            <w:pPr>
              <w:snapToGrid w:val="0"/>
              <w:spacing w:after="0" w:line="160" w:lineRule="atLeast"/>
            </w:pPr>
            <w:r w:rsidRPr="00763624">
              <w:t>parenteral</w:t>
            </w:r>
          </w:p>
        </w:tc>
      </w:tr>
      <w:tr w:rsidR="00763624" w:rsidRPr="00763624" w14:paraId="3D469FF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CC099F5" w14:textId="77777777" w:rsidR="00763624" w:rsidRPr="00763624" w:rsidRDefault="00763624" w:rsidP="00763624">
            <w:pPr>
              <w:snapToGrid w:val="0"/>
              <w:spacing w:after="0" w:line="160" w:lineRule="atLeast"/>
            </w:pPr>
            <w:r w:rsidRPr="00763624">
              <w:rPr>
                <w:b/>
                <w:bCs/>
              </w:rPr>
              <w:t>hepatitis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3DF016E" w14:textId="77777777" w:rsidR="00763624" w:rsidRPr="00763624" w:rsidRDefault="00763624" w:rsidP="00763624">
            <w:pPr>
              <w:snapToGrid w:val="0"/>
              <w:spacing w:after="0" w:line="160" w:lineRule="atLeast"/>
            </w:pPr>
            <w:r w:rsidRPr="00763624">
              <w:t>parenteral</w:t>
            </w:r>
          </w:p>
        </w:tc>
      </w:tr>
      <w:tr w:rsidR="00763624" w:rsidRPr="00763624" w14:paraId="03633EB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974B49B" w14:textId="77777777" w:rsidR="00763624" w:rsidRPr="00763624" w:rsidRDefault="00763624" w:rsidP="00763624">
            <w:pPr>
              <w:snapToGrid w:val="0"/>
              <w:spacing w:after="0" w:line="160" w:lineRule="atLeast"/>
            </w:pPr>
            <w:r w:rsidRPr="00763624">
              <w:rPr>
                <w:b/>
                <w:bCs/>
              </w:rPr>
              <w:t>human insulin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D417646" w14:textId="77777777" w:rsidR="00763624" w:rsidRPr="00763624" w:rsidRDefault="00763624" w:rsidP="00763624">
            <w:pPr>
              <w:snapToGrid w:val="0"/>
              <w:spacing w:after="0" w:line="160" w:lineRule="atLeast"/>
            </w:pPr>
            <w:r w:rsidRPr="00763624">
              <w:t>parenteral</w:t>
            </w:r>
          </w:p>
        </w:tc>
      </w:tr>
      <w:tr w:rsidR="00763624" w:rsidRPr="00763624" w14:paraId="1A70116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1699985" w14:textId="77777777" w:rsidR="00763624" w:rsidRPr="00763624" w:rsidRDefault="00763624" w:rsidP="00763624">
            <w:pPr>
              <w:snapToGrid w:val="0"/>
              <w:spacing w:after="0" w:line="160" w:lineRule="atLeast"/>
            </w:pPr>
            <w:r w:rsidRPr="00763624">
              <w:rPr>
                <w:b/>
                <w:bCs/>
              </w:rPr>
              <w:t>human papillomavirus vaccines</w:t>
            </w:r>
            <w:r w:rsidRPr="00763624">
              <w:t> (</w:t>
            </w:r>
            <w:proofErr w:type="spellStart"/>
            <w:r w:rsidRPr="00763624">
              <w:t>nonavalent</w:t>
            </w:r>
            <w:proofErr w:type="spellEnd"/>
            <w:r w:rsidRPr="00763624">
              <w:t xml:space="preserve"> form)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B334F25" w14:textId="77777777" w:rsidR="00763624" w:rsidRPr="00763624" w:rsidRDefault="00763624" w:rsidP="00763624">
            <w:pPr>
              <w:snapToGrid w:val="0"/>
              <w:spacing w:after="0" w:line="160" w:lineRule="atLeast"/>
            </w:pPr>
            <w:r w:rsidRPr="00763624">
              <w:t>parenteral</w:t>
            </w:r>
          </w:p>
        </w:tc>
      </w:tr>
      <w:tr w:rsidR="00763624" w:rsidRPr="00763624" w14:paraId="2141225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857DFBA" w14:textId="77777777" w:rsidR="00763624" w:rsidRPr="00763624" w:rsidRDefault="00763624" w:rsidP="00763624">
            <w:pPr>
              <w:snapToGrid w:val="0"/>
              <w:spacing w:after="0" w:line="160" w:lineRule="atLeast"/>
            </w:pPr>
            <w:r w:rsidRPr="00763624">
              <w:rPr>
                <w:b/>
                <w:bCs/>
              </w:rPr>
              <w:t>human plasma proteins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E2EB777" w14:textId="77777777" w:rsidR="00763624" w:rsidRPr="00763624" w:rsidRDefault="00763624" w:rsidP="00763624">
            <w:pPr>
              <w:snapToGrid w:val="0"/>
              <w:spacing w:after="0" w:line="160" w:lineRule="atLeast"/>
            </w:pPr>
            <w:r w:rsidRPr="00763624">
              <w:t>parenteral</w:t>
            </w:r>
          </w:p>
        </w:tc>
      </w:tr>
      <w:tr w:rsidR="00763624" w:rsidRPr="00763624" w14:paraId="1672D91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ACFB388" w14:textId="77777777" w:rsidR="00763624" w:rsidRPr="00763624" w:rsidRDefault="00763624" w:rsidP="00763624">
            <w:pPr>
              <w:snapToGrid w:val="0"/>
              <w:spacing w:after="0" w:line="160" w:lineRule="atLeast"/>
            </w:pPr>
            <w:r w:rsidRPr="00763624">
              <w:rPr>
                <w:b/>
                <w:bCs/>
              </w:rPr>
              <w:t>hydrocortisone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D274444" w14:textId="77777777" w:rsidR="00763624" w:rsidRPr="00763624" w:rsidRDefault="00763624" w:rsidP="00763624">
            <w:pPr>
              <w:snapToGrid w:val="0"/>
              <w:spacing w:after="0" w:line="160" w:lineRule="atLeast"/>
            </w:pPr>
            <w:r w:rsidRPr="00763624">
              <w:t>parenteral</w:t>
            </w:r>
          </w:p>
        </w:tc>
      </w:tr>
      <w:tr w:rsidR="00763624" w:rsidRPr="00763624" w14:paraId="79A5DDF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FE3E76" w14:textId="77777777" w:rsidR="00763624" w:rsidRPr="00763624" w:rsidRDefault="00763624" w:rsidP="00763624">
            <w:pPr>
              <w:snapToGrid w:val="0"/>
              <w:spacing w:after="0" w:line="160" w:lineRule="atLeast"/>
            </w:pPr>
            <w:r w:rsidRPr="00763624">
              <w:rPr>
                <w:b/>
                <w:bCs/>
              </w:rPr>
              <w:t>hydroxocobalamin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AF142E" w14:textId="77777777" w:rsidR="00763624" w:rsidRPr="00763624" w:rsidRDefault="00763624" w:rsidP="00763624">
            <w:pPr>
              <w:snapToGrid w:val="0"/>
              <w:spacing w:after="0" w:line="160" w:lineRule="atLeast"/>
            </w:pPr>
            <w:r w:rsidRPr="00763624">
              <w:t>parenteral</w:t>
            </w:r>
          </w:p>
        </w:tc>
      </w:tr>
      <w:tr w:rsidR="00763624" w:rsidRPr="00763624" w14:paraId="552D4D3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B41EC01" w14:textId="77777777" w:rsidR="00763624" w:rsidRPr="00763624" w:rsidRDefault="00763624" w:rsidP="00763624">
            <w:pPr>
              <w:snapToGrid w:val="0"/>
              <w:spacing w:after="0" w:line="160" w:lineRule="atLeast"/>
            </w:pPr>
            <w:r w:rsidRPr="00763624">
              <w:rPr>
                <w:b/>
                <w:bCs/>
              </w:rPr>
              <w:t>idarubicin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B07CC16" w14:textId="77777777" w:rsidR="00763624" w:rsidRPr="00763624" w:rsidRDefault="00763624" w:rsidP="00763624">
            <w:pPr>
              <w:snapToGrid w:val="0"/>
              <w:spacing w:after="0" w:line="160" w:lineRule="atLeast"/>
            </w:pPr>
            <w:r w:rsidRPr="00763624">
              <w:t>parenteral</w:t>
            </w:r>
          </w:p>
        </w:tc>
      </w:tr>
      <w:tr w:rsidR="00763624" w:rsidRPr="00763624" w14:paraId="0F5C8B96"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5F84665" w14:textId="77777777" w:rsidR="00763624" w:rsidRPr="00763624" w:rsidRDefault="00763624" w:rsidP="00763624">
            <w:pPr>
              <w:snapToGrid w:val="0"/>
              <w:spacing w:after="0" w:line="160" w:lineRule="atLeast"/>
            </w:pPr>
            <w:proofErr w:type="spellStart"/>
            <w:r w:rsidRPr="00763624">
              <w:rPr>
                <w:b/>
                <w:bCs/>
              </w:rPr>
              <w:t>idursulfase</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0B15D7E" w14:textId="77777777" w:rsidR="00763624" w:rsidRPr="00763624" w:rsidRDefault="00763624" w:rsidP="00763624">
            <w:pPr>
              <w:snapToGrid w:val="0"/>
              <w:spacing w:after="0" w:line="160" w:lineRule="atLeast"/>
            </w:pPr>
            <w:r w:rsidRPr="00763624">
              <w:t>parenteral</w:t>
            </w:r>
          </w:p>
        </w:tc>
      </w:tr>
      <w:tr w:rsidR="00763624" w:rsidRPr="00763624" w14:paraId="66CBBAE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5180CFA" w14:textId="77777777" w:rsidR="00763624" w:rsidRPr="00763624" w:rsidRDefault="00763624" w:rsidP="00763624">
            <w:pPr>
              <w:snapToGrid w:val="0"/>
              <w:spacing w:after="0" w:line="160" w:lineRule="atLeast"/>
            </w:pPr>
            <w:r w:rsidRPr="00763624">
              <w:rPr>
                <w:b/>
                <w:bCs/>
              </w:rPr>
              <w:t>immunoglobulin G</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6B69DAC" w14:textId="77777777" w:rsidR="00763624" w:rsidRPr="00763624" w:rsidRDefault="00763624" w:rsidP="00763624">
            <w:pPr>
              <w:snapToGrid w:val="0"/>
              <w:spacing w:after="0" w:line="160" w:lineRule="atLeast"/>
            </w:pPr>
            <w:r w:rsidRPr="00763624">
              <w:t>parenteral</w:t>
            </w:r>
          </w:p>
        </w:tc>
      </w:tr>
      <w:tr w:rsidR="00763624" w:rsidRPr="00763624" w14:paraId="6EE701D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CF286F" w14:textId="77777777" w:rsidR="00763624" w:rsidRPr="00763624" w:rsidRDefault="00763624" w:rsidP="00763624">
            <w:pPr>
              <w:snapToGrid w:val="0"/>
              <w:spacing w:after="0" w:line="160" w:lineRule="atLeast"/>
            </w:pPr>
            <w:r w:rsidRPr="00763624">
              <w:rPr>
                <w:b/>
                <w:bCs/>
              </w:rPr>
              <w:t>ipilimumab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64EFA5A" w14:textId="77777777" w:rsidR="00763624" w:rsidRPr="00763624" w:rsidRDefault="00763624" w:rsidP="00763624">
            <w:pPr>
              <w:snapToGrid w:val="0"/>
              <w:spacing w:after="0" w:line="160" w:lineRule="atLeast"/>
            </w:pPr>
            <w:r w:rsidRPr="00763624">
              <w:t>parenteral</w:t>
            </w:r>
          </w:p>
        </w:tc>
      </w:tr>
      <w:tr w:rsidR="00763624" w:rsidRPr="00763624" w14:paraId="477B256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F3FA42D" w14:textId="77777777" w:rsidR="00763624" w:rsidRPr="00763624" w:rsidRDefault="00763624" w:rsidP="00763624">
            <w:pPr>
              <w:snapToGrid w:val="0"/>
              <w:spacing w:after="0" w:line="160" w:lineRule="atLeast"/>
            </w:pPr>
            <w:r w:rsidRPr="00763624">
              <w:rPr>
                <w:b/>
                <w:bCs/>
              </w:rPr>
              <w:lastRenderedPageBreak/>
              <w:t>isoniazid</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78A1602" w14:textId="77777777" w:rsidR="00763624" w:rsidRPr="00763624" w:rsidRDefault="00763624" w:rsidP="00763624">
            <w:pPr>
              <w:snapToGrid w:val="0"/>
              <w:spacing w:after="0" w:line="160" w:lineRule="atLeast"/>
            </w:pPr>
            <w:r w:rsidRPr="00763624">
              <w:t>oral</w:t>
            </w:r>
          </w:p>
        </w:tc>
      </w:tr>
      <w:tr w:rsidR="00763624" w:rsidRPr="00763624" w14:paraId="03F0ACA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A563EEC" w14:textId="77777777" w:rsidR="00763624" w:rsidRPr="00763624" w:rsidRDefault="00763624" w:rsidP="00763624">
            <w:pPr>
              <w:snapToGrid w:val="0"/>
              <w:spacing w:after="0" w:line="160" w:lineRule="atLeast"/>
            </w:pPr>
            <w:r w:rsidRPr="00763624">
              <w:rPr>
                <w:b/>
                <w:bCs/>
              </w:rPr>
              <w:t>ivabradine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9B8DC85" w14:textId="77777777" w:rsidR="00763624" w:rsidRPr="00763624" w:rsidRDefault="00763624" w:rsidP="00763624">
            <w:pPr>
              <w:snapToGrid w:val="0"/>
              <w:spacing w:after="0" w:line="160" w:lineRule="atLeast"/>
            </w:pPr>
            <w:r w:rsidRPr="00763624">
              <w:t>oral</w:t>
            </w:r>
          </w:p>
        </w:tc>
      </w:tr>
      <w:tr w:rsidR="00763624" w:rsidRPr="00763624" w14:paraId="09C8AC1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31CC123" w14:textId="77777777" w:rsidR="00763624" w:rsidRPr="00763624" w:rsidRDefault="00763624" w:rsidP="00763624">
            <w:pPr>
              <w:snapToGrid w:val="0"/>
              <w:spacing w:after="0" w:line="160" w:lineRule="atLeast"/>
            </w:pPr>
            <w:r w:rsidRPr="00763624">
              <w:rPr>
                <w:b/>
                <w:bCs/>
              </w:rPr>
              <w:t>ledipasvir and sofosbuvir</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12A2B37" w14:textId="77777777" w:rsidR="00763624" w:rsidRPr="00763624" w:rsidRDefault="00763624" w:rsidP="00763624">
            <w:pPr>
              <w:snapToGrid w:val="0"/>
              <w:spacing w:after="0" w:line="160" w:lineRule="atLeast"/>
            </w:pPr>
            <w:r w:rsidRPr="00763624">
              <w:t>oral</w:t>
            </w:r>
          </w:p>
        </w:tc>
      </w:tr>
      <w:tr w:rsidR="00763624" w:rsidRPr="00763624" w14:paraId="056210D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27F5A74" w14:textId="77777777" w:rsidR="00763624" w:rsidRPr="00763624" w:rsidRDefault="00763624" w:rsidP="00763624">
            <w:pPr>
              <w:snapToGrid w:val="0"/>
              <w:spacing w:after="0" w:line="160" w:lineRule="atLeast"/>
            </w:pPr>
            <w:r w:rsidRPr="00763624">
              <w:rPr>
                <w:b/>
                <w:bCs/>
              </w:rPr>
              <w:t>leucovorin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ABDFB65" w14:textId="77777777" w:rsidR="00763624" w:rsidRPr="00763624" w:rsidRDefault="00763624" w:rsidP="00763624">
            <w:pPr>
              <w:snapToGrid w:val="0"/>
              <w:spacing w:after="0" w:line="160" w:lineRule="atLeast"/>
            </w:pPr>
            <w:r w:rsidRPr="00763624">
              <w:t>parenteral</w:t>
            </w:r>
          </w:p>
        </w:tc>
      </w:tr>
      <w:tr w:rsidR="00763624" w:rsidRPr="00763624" w14:paraId="4E12CD1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E2D801F" w14:textId="77777777" w:rsidR="00763624" w:rsidRPr="00763624" w:rsidRDefault="00763624" w:rsidP="00763624">
            <w:pPr>
              <w:snapToGrid w:val="0"/>
              <w:spacing w:after="0" w:line="160" w:lineRule="atLeast"/>
            </w:pPr>
            <w:r w:rsidRPr="00763624">
              <w:rPr>
                <w:b/>
                <w:bCs/>
              </w:rPr>
              <w:t>levofloxacin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298E194" w14:textId="77777777" w:rsidR="00763624" w:rsidRPr="00763624" w:rsidRDefault="00763624" w:rsidP="00763624">
            <w:pPr>
              <w:snapToGrid w:val="0"/>
              <w:spacing w:after="0" w:line="160" w:lineRule="atLeast"/>
            </w:pPr>
            <w:r w:rsidRPr="00763624">
              <w:t>parenteral</w:t>
            </w:r>
          </w:p>
        </w:tc>
      </w:tr>
      <w:tr w:rsidR="00763624" w:rsidRPr="00763624" w14:paraId="4A94918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252115E" w14:textId="77777777" w:rsidR="00763624" w:rsidRPr="00763624" w:rsidRDefault="00763624" w:rsidP="00763624">
            <w:pPr>
              <w:snapToGrid w:val="0"/>
              <w:spacing w:after="0" w:line="160" w:lineRule="atLeast"/>
            </w:pPr>
            <w:r w:rsidRPr="00763624">
              <w:rPr>
                <w:b/>
                <w:bCs/>
              </w:rPr>
              <w:t>levothyroxine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711737" w14:textId="77777777" w:rsidR="00763624" w:rsidRPr="00763624" w:rsidRDefault="00763624" w:rsidP="00763624">
            <w:pPr>
              <w:snapToGrid w:val="0"/>
              <w:spacing w:after="0" w:line="160" w:lineRule="atLeast"/>
            </w:pPr>
            <w:r w:rsidRPr="00763624">
              <w:t>parenteral</w:t>
            </w:r>
          </w:p>
        </w:tc>
      </w:tr>
      <w:tr w:rsidR="00763624" w:rsidRPr="00763624" w14:paraId="0815FCD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0A03EF0" w14:textId="77777777" w:rsidR="00763624" w:rsidRPr="00763624" w:rsidRDefault="00763624" w:rsidP="00763624">
            <w:pPr>
              <w:snapToGrid w:val="0"/>
              <w:spacing w:after="0" w:line="160" w:lineRule="atLeast"/>
            </w:pPr>
            <w:r w:rsidRPr="00763624">
              <w:rPr>
                <w:b/>
                <w:bCs/>
              </w:rPr>
              <w:t>linezolid</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E9B54ED" w14:textId="77777777" w:rsidR="00763624" w:rsidRPr="00763624" w:rsidRDefault="00763624" w:rsidP="00763624">
            <w:pPr>
              <w:snapToGrid w:val="0"/>
              <w:spacing w:after="0" w:line="160" w:lineRule="atLeast"/>
            </w:pPr>
            <w:r w:rsidRPr="00763624">
              <w:t>parenteral</w:t>
            </w:r>
          </w:p>
        </w:tc>
      </w:tr>
      <w:tr w:rsidR="00763624" w:rsidRPr="00763624" w14:paraId="2FF29E1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91776E" w14:textId="77777777" w:rsidR="00763624" w:rsidRPr="00763624" w:rsidRDefault="00763624" w:rsidP="00763624">
            <w:pPr>
              <w:snapToGrid w:val="0"/>
              <w:spacing w:after="0" w:line="160" w:lineRule="atLeast"/>
            </w:pPr>
            <w:r w:rsidRPr="00763624">
              <w:rPr>
                <w:b/>
                <w:bCs/>
              </w:rPr>
              <w:t>lithium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9FA10F" w14:textId="77777777" w:rsidR="00763624" w:rsidRPr="00763624" w:rsidRDefault="00763624" w:rsidP="00763624">
            <w:pPr>
              <w:snapToGrid w:val="0"/>
              <w:spacing w:after="0" w:line="160" w:lineRule="atLeast"/>
            </w:pPr>
            <w:r w:rsidRPr="00763624">
              <w:t>oral</w:t>
            </w:r>
          </w:p>
        </w:tc>
      </w:tr>
      <w:tr w:rsidR="00763624" w:rsidRPr="00763624" w14:paraId="7952902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9A7591C" w14:textId="77777777" w:rsidR="00763624" w:rsidRPr="00763624" w:rsidRDefault="00763624" w:rsidP="00763624">
            <w:pPr>
              <w:snapToGrid w:val="0"/>
              <w:spacing w:after="0" w:line="160" w:lineRule="atLeast"/>
            </w:pPr>
            <w:proofErr w:type="spellStart"/>
            <w:r w:rsidRPr="00763624">
              <w:rPr>
                <w:b/>
                <w:bCs/>
              </w:rPr>
              <w:t>luspatercept</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412339A" w14:textId="77777777" w:rsidR="00763624" w:rsidRPr="00763624" w:rsidRDefault="00763624" w:rsidP="00763624">
            <w:pPr>
              <w:snapToGrid w:val="0"/>
              <w:spacing w:after="0" w:line="160" w:lineRule="atLeast"/>
            </w:pPr>
            <w:r w:rsidRPr="00763624">
              <w:t>parenteral</w:t>
            </w:r>
          </w:p>
        </w:tc>
      </w:tr>
      <w:tr w:rsidR="00763624" w:rsidRPr="00763624" w14:paraId="0182C57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F70457C" w14:textId="77777777" w:rsidR="00763624" w:rsidRPr="00763624" w:rsidRDefault="00763624" w:rsidP="00763624">
            <w:pPr>
              <w:snapToGrid w:val="0"/>
              <w:spacing w:after="0" w:line="160" w:lineRule="atLeast"/>
            </w:pPr>
            <w:r w:rsidRPr="00763624">
              <w:rPr>
                <w:b/>
                <w:bCs/>
              </w:rPr>
              <w:t>magnesium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1269DDC" w14:textId="77777777" w:rsidR="00763624" w:rsidRPr="00763624" w:rsidRDefault="00763624" w:rsidP="00763624">
            <w:pPr>
              <w:snapToGrid w:val="0"/>
              <w:spacing w:after="0" w:line="160" w:lineRule="atLeast"/>
            </w:pPr>
            <w:r w:rsidRPr="00763624">
              <w:t>parenteral</w:t>
            </w:r>
          </w:p>
        </w:tc>
      </w:tr>
      <w:tr w:rsidR="00763624" w:rsidRPr="00763624" w14:paraId="62B3EB5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0DEE13E" w14:textId="77777777" w:rsidR="00763624" w:rsidRPr="00763624" w:rsidRDefault="00763624" w:rsidP="00763624">
            <w:pPr>
              <w:snapToGrid w:val="0"/>
              <w:spacing w:after="0" w:line="160" w:lineRule="atLeast"/>
            </w:pPr>
            <w:r w:rsidRPr="00763624">
              <w:rPr>
                <w:b/>
                <w:bCs/>
              </w:rPr>
              <w:t>manganese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173CE08" w14:textId="77777777" w:rsidR="00763624" w:rsidRPr="00763624" w:rsidRDefault="00763624" w:rsidP="00763624">
            <w:pPr>
              <w:snapToGrid w:val="0"/>
              <w:spacing w:after="0" w:line="160" w:lineRule="atLeast"/>
            </w:pPr>
            <w:r w:rsidRPr="00763624">
              <w:t>parenteral</w:t>
            </w:r>
          </w:p>
        </w:tc>
      </w:tr>
      <w:tr w:rsidR="00763624" w:rsidRPr="00763624" w14:paraId="26C18B9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B57AC37" w14:textId="77777777" w:rsidR="00763624" w:rsidRPr="00763624" w:rsidRDefault="00763624" w:rsidP="00763624">
            <w:pPr>
              <w:snapToGrid w:val="0"/>
              <w:spacing w:after="0" w:line="160" w:lineRule="atLeast"/>
            </w:pPr>
            <w:r w:rsidRPr="00763624">
              <w:rPr>
                <w:b/>
                <w:bCs/>
              </w:rPr>
              <w:t>measles, mumps and rubella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D768462" w14:textId="77777777" w:rsidR="00763624" w:rsidRPr="00763624" w:rsidRDefault="00763624" w:rsidP="00763624">
            <w:pPr>
              <w:snapToGrid w:val="0"/>
              <w:spacing w:after="0" w:line="160" w:lineRule="atLeast"/>
            </w:pPr>
            <w:r w:rsidRPr="00763624">
              <w:t>parenteral</w:t>
            </w:r>
          </w:p>
        </w:tc>
      </w:tr>
      <w:tr w:rsidR="00763624" w:rsidRPr="00763624" w14:paraId="616F2D2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A157147" w14:textId="77777777" w:rsidR="00763624" w:rsidRPr="00763624" w:rsidRDefault="00763624" w:rsidP="00763624">
            <w:pPr>
              <w:snapToGrid w:val="0"/>
              <w:spacing w:after="0" w:line="160" w:lineRule="atLeast"/>
            </w:pPr>
            <w:r w:rsidRPr="00763624">
              <w:rPr>
                <w:b/>
                <w:bCs/>
              </w:rPr>
              <w:t>measles, mumps, rubella and varicella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3A7A4EE" w14:textId="77777777" w:rsidR="00763624" w:rsidRPr="00763624" w:rsidRDefault="00763624" w:rsidP="00763624">
            <w:pPr>
              <w:snapToGrid w:val="0"/>
              <w:spacing w:after="0" w:line="160" w:lineRule="atLeast"/>
            </w:pPr>
            <w:r w:rsidRPr="00763624">
              <w:t>parenteral</w:t>
            </w:r>
          </w:p>
        </w:tc>
      </w:tr>
      <w:tr w:rsidR="00763624" w:rsidRPr="00763624" w14:paraId="40AAF57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1232FB2" w14:textId="77777777" w:rsidR="00763624" w:rsidRPr="00763624" w:rsidRDefault="00763624" w:rsidP="00763624">
            <w:pPr>
              <w:snapToGrid w:val="0"/>
              <w:spacing w:after="0" w:line="160" w:lineRule="atLeast"/>
            </w:pPr>
            <w:r w:rsidRPr="00763624">
              <w:rPr>
                <w:b/>
                <w:bCs/>
              </w:rPr>
              <w:t>meningococcal vaccines</w:t>
            </w:r>
            <w:r w:rsidRPr="00763624">
              <w:t> (tetravalent form)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DE977F0" w14:textId="77777777" w:rsidR="00763624" w:rsidRPr="00763624" w:rsidRDefault="00763624" w:rsidP="00763624">
            <w:pPr>
              <w:snapToGrid w:val="0"/>
              <w:spacing w:after="0" w:line="160" w:lineRule="atLeast"/>
            </w:pPr>
            <w:r w:rsidRPr="00763624">
              <w:t>parenteral</w:t>
            </w:r>
          </w:p>
        </w:tc>
      </w:tr>
      <w:tr w:rsidR="00763624" w:rsidRPr="00763624" w14:paraId="0009EC0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9980C9A" w14:textId="77777777" w:rsidR="00763624" w:rsidRPr="00763624" w:rsidRDefault="00763624" w:rsidP="00763624">
            <w:pPr>
              <w:snapToGrid w:val="0"/>
              <w:spacing w:after="0" w:line="160" w:lineRule="atLeast"/>
            </w:pPr>
            <w:r w:rsidRPr="00763624">
              <w:rPr>
                <w:b/>
                <w:bCs/>
              </w:rPr>
              <w:t>meropenem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928747E" w14:textId="77777777" w:rsidR="00763624" w:rsidRPr="00763624" w:rsidRDefault="00763624" w:rsidP="00763624">
            <w:pPr>
              <w:snapToGrid w:val="0"/>
              <w:spacing w:after="0" w:line="160" w:lineRule="atLeast"/>
            </w:pPr>
            <w:r w:rsidRPr="00763624">
              <w:t>parenteral</w:t>
            </w:r>
          </w:p>
        </w:tc>
      </w:tr>
      <w:tr w:rsidR="00763624" w:rsidRPr="00763624" w14:paraId="5AF450F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7B1863E" w14:textId="77777777" w:rsidR="00763624" w:rsidRPr="00763624" w:rsidRDefault="00763624" w:rsidP="00763624">
            <w:pPr>
              <w:snapToGrid w:val="0"/>
              <w:spacing w:after="0" w:line="160" w:lineRule="atLeast"/>
            </w:pPr>
            <w:r w:rsidRPr="00763624">
              <w:rPr>
                <w:b/>
                <w:bCs/>
              </w:rPr>
              <w:t>methotrexate</w:t>
            </w:r>
            <w:r w:rsidRPr="00763624">
              <w:t> (when sold or recommended as an antineoplastic agent)</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077B200" w14:textId="77777777" w:rsidR="00763624" w:rsidRPr="00763624" w:rsidRDefault="00763624" w:rsidP="00763624">
            <w:pPr>
              <w:snapToGrid w:val="0"/>
              <w:spacing w:after="0" w:line="160" w:lineRule="atLeast"/>
            </w:pPr>
            <w:r w:rsidRPr="00763624">
              <w:t>parenteral</w:t>
            </w:r>
          </w:p>
        </w:tc>
      </w:tr>
      <w:tr w:rsidR="00763624" w:rsidRPr="00763624" w14:paraId="4392693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9D3908E" w14:textId="77777777" w:rsidR="00763624" w:rsidRPr="00763624" w:rsidRDefault="00763624" w:rsidP="00763624">
            <w:pPr>
              <w:snapToGrid w:val="0"/>
              <w:spacing w:after="0" w:line="160" w:lineRule="atLeast"/>
            </w:pPr>
            <w:r w:rsidRPr="00763624">
              <w:rPr>
                <w:b/>
                <w:bCs/>
              </w:rPr>
              <w:t>methylene blue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45D8A60" w14:textId="77777777" w:rsidR="00763624" w:rsidRPr="00763624" w:rsidRDefault="00763624" w:rsidP="00763624">
            <w:pPr>
              <w:snapToGrid w:val="0"/>
              <w:spacing w:after="0" w:line="160" w:lineRule="atLeast"/>
            </w:pPr>
            <w:r w:rsidRPr="00763624">
              <w:t>parenteral</w:t>
            </w:r>
          </w:p>
        </w:tc>
      </w:tr>
      <w:tr w:rsidR="00763624" w:rsidRPr="00763624" w14:paraId="62DF537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2DAD21F" w14:textId="77777777" w:rsidR="00763624" w:rsidRPr="00763624" w:rsidRDefault="00763624" w:rsidP="00763624">
            <w:pPr>
              <w:snapToGrid w:val="0"/>
              <w:spacing w:after="0" w:line="160" w:lineRule="atLeast"/>
            </w:pPr>
            <w:r w:rsidRPr="00763624">
              <w:rPr>
                <w:b/>
                <w:bCs/>
              </w:rPr>
              <w:t>methylprednisolone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BBCE1E" w14:textId="77777777" w:rsidR="00763624" w:rsidRPr="00763624" w:rsidRDefault="00763624" w:rsidP="00763624">
            <w:pPr>
              <w:snapToGrid w:val="0"/>
              <w:spacing w:after="0" w:line="160" w:lineRule="atLeast"/>
            </w:pPr>
            <w:r w:rsidRPr="00763624">
              <w:t>parenteral</w:t>
            </w:r>
          </w:p>
        </w:tc>
      </w:tr>
      <w:tr w:rsidR="00763624" w:rsidRPr="00763624" w14:paraId="412BBA8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C915B0A" w14:textId="77777777" w:rsidR="00763624" w:rsidRPr="00763624" w:rsidRDefault="00763624" w:rsidP="00763624">
            <w:pPr>
              <w:snapToGrid w:val="0"/>
              <w:spacing w:after="0" w:line="160" w:lineRule="atLeast"/>
            </w:pPr>
            <w:r w:rsidRPr="00763624">
              <w:rPr>
                <w:b/>
                <w:bCs/>
              </w:rPr>
              <w:t>metronidazole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F5E5690" w14:textId="77777777" w:rsidR="00763624" w:rsidRPr="00763624" w:rsidRDefault="00763624" w:rsidP="00763624">
            <w:pPr>
              <w:snapToGrid w:val="0"/>
              <w:spacing w:after="0" w:line="160" w:lineRule="atLeast"/>
            </w:pPr>
            <w:r w:rsidRPr="00763624">
              <w:t>oral, parenteral</w:t>
            </w:r>
          </w:p>
        </w:tc>
      </w:tr>
      <w:tr w:rsidR="00763624" w:rsidRPr="00763624" w14:paraId="6BE7374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5A00D02" w14:textId="77777777" w:rsidR="00763624" w:rsidRPr="00763624" w:rsidRDefault="00763624" w:rsidP="00763624">
            <w:pPr>
              <w:snapToGrid w:val="0"/>
              <w:spacing w:after="0" w:line="160" w:lineRule="atLeast"/>
            </w:pPr>
            <w:r w:rsidRPr="00763624">
              <w:rPr>
                <w:b/>
                <w:bCs/>
              </w:rPr>
              <w:t>micafungin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81FED81" w14:textId="77777777" w:rsidR="00763624" w:rsidRPr="00763624" w:rsidRDefault="00763624" w:rsidP="00763624">
            <w:pPr>
              <w:snapToGrid w:val="0"/>
              <w:spacing w:after="0" w:line="160" w:lineRule="atLeast"/>
            </w:pPr>
            <w:r w:rsidRPr="00763624">
              <w:t>parenteral</w:t>
            </w:r>
          </w:p>
        </w:tc>
      </w:tr>
      <w:tr w:rsidR="00763624" w:rsidRPr="00763624" w14:paraId="58CC859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0411263" w14:textId="77777777" w:rsidR="00763624" w:rsidRPr="00763624" w:rsidRDefault="00763624" w:rsidP="00763624">
            <w:pPr>
              <w:snapToGrid w:val="0"/>
              <w:spacing w:after="0" w:line="160" w:lineRule="atLeast"/>
            </w:pPr>
            <w:r w:rsidRPr="00763624">
              <w:rPr>
                <w:b/>
                <w:bCs/>
              </w:rPr>
              <w:t>mifepristone and misoprostol</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B6B2738" w14:textId="77777777" w:rsidR="00763624" w:rsidRPr="00763624" w:rsidRDefault="00763624" w:rsidP="00763624">
            <w:pPr>
              <w:snapToGrid w:val="0"/>
              <w:spacing w:after="0" w:line="160" w:lineRule="atLeast"/>
            </w:pPr>
            <w:r w:rsidRPr="00763624">
              <w:t>oral</w:t>
            </w:r>
          </w:p>
        </w:tc>
      </w:tr>
      <w:tr w:rsidR="00763624" w:rsidRPr="00763624" w14:paraId="689C922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92D70E2" w14:textId="77777777" w:rsidR="00763624" w:rsidRPr="00763624" w:rsidRDefault="00763624" w:rsidP="00763624">
            <w:pPr>
              <w:snapToGrid w:val="0"/>
              <w:spacing w:after="0" w:line="160" w:lineRule="atLeast"/>
            </w:pPr>
            <w:r w:rsidRPr="00763624">
              <w:rPr>
                <w:b/>
                <w:bCs/>
              </w:rPr>
              <w:t>morphine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F505A15" w14:textId="77777777" w:rsidR="00763624" w:rsidRPr="00763624" w:rsidRDefault="00763624" w:rsidP="00763624">
            <w:pPr>
              <w:snapToGrid w:val="0"/>
              <w:spacing w:after="0" w:line="160" w:lineRule="atLeast"/>
            </w:pPr>
            <w:r w:rsidRPr="00763624">
              <w:t>parenteral</w:t>
            </w:r>
          </w:p>
        </w:tc>
      </w:tr>
      <w:tr w:rsidR="00763624" w:rsidRPr="00763624" w14:paraId="4F2F7E3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99F9053" w14:textId="77777777" w:rsidR="00763624" w:rsidRPr="00763624" w:rsidRDefault="00763624" w:rsidP="00763624">
            <w:pPr>
              <w:snapToGrid w:val="0"/>
              <w:spacing w:after="0" w:line="160" w:lineRule="atLeast"/>
            </w:pPr>
            <w:r w:rsidRPr="00763624">
              <w:rPr>
                <w:b/>
                <w:bCs/>
              </w:rPr>
              <w:t>naloxone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97095CB" w14:textId="77777777" w:rsidR="00763624" w:rsidRPr="00763624" w:rsidRDefault="00763624" w:rsidP="00763624">
            <w:pPr>
              <w:snapToGrid w:val="0"/>
              <w:spacing w:after="0" w:line="160" w:lineRule="atLeast"/>
            </w:pPr>
            <w:r w:rsidRPr="00763624">
              <w:t>inhaled, parenteral</w:t>
            </w:r>
          </w:p>
        </w:tc>
      </w:tr>
      <w:tr w:rsidR="00763624" w:rsidRPr="00763624" w14:paraId="0EC81C6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C08D16D" w14:textId="77777777" w:rsidR="00763624" w:rsidRPr="00763624" w:rsidRDefault="00763624" w:rsidP="00763624">
            <w:pPr>
              <w:snapToGrid w:val="0"/>
              <w:spacing w:after="0" w:line="160" w:lineRule="atLeast"/>
            </w:pPr>
            <w:r w:rsidRPr="00763624">
              <w:rPr>
                <w:b/>
                <w:bCs/>
              </w:rPr>
              <w:t>nitroglycerin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9572235" w14:textId="77777777" w:rsidR="00763624" w:rsidRPr="00763624" w:rsidRDefault="00763624" w:rsidP="00763624">
            <w:pPr>
              <w:snapToGrid w:val="0"/>
              <w:spacing w:after="0" w:line="160" w:lineRule="atLeast"/>
            </w:pPr>
            <w:r w:rsidRPr="00763624">
              <w:t>oral, parenteral</w:t>
            </w:r>
          </w:p>
        </w:tc>
      </w:tr>
      <w:tr w:rsidR="00763624" w:rsidRPr="00763624" w14:paraId="31445D8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DF66A65" w14:textId="77777777" w:rsidR="00763624" w:rsidRPr="00763624" w:rsidRDefault="00763624" w:rsidP="00763624">
            <w:pPr>
              <w:snapToGrid w:val="0"/>
              <w:spacing w:after="0" w:line="160" w:lineRule="atLeast"/>
            </w:pPr>
            <w:r w:rsidRPr="00763624">
              <w:rPr>
                <w:b/>
                <w:bCs/>
              </w:rPr>
              <w:t>nivolumab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15C6966" w14:textId="77777777" w:rsidR="00763624" w:rsidRPr="00763624" w:rsidRDefault="00763624" w:rsidP="00763624">
            <w:pPr>
              <w:snapToGrid w:val="0"/>
              <w:spacing w:after="0" w:line="160" w:lineRule="atLeast"/>
            </w:pPr>
            <w:r w:rsidRPr="00763624">
              <w:t>parenteral</w:t>
            </w:r>
          </w:p>
        </w:tc>
      </w:tr>
      <w:tr w:rsidR="00763624" w:rsidRPr="00763624" w14:paraId="5B9315A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6C5A87D" w14:textId="77777777" w:rsidR="00763624" w:rsidRPr="00763624" w:rsidRDefault="00763624" w:rsidP="00763624">
            <w:pPr>
              <w:snapToGrid w:val="0"/>
              <w:spacing w:after="0" w:line="160" w:lineRule="atLeast"/>
            </w:pPr>
            <w:r w:rsidRPr="00763624">
              <w:rPr>
                <w:b/>
                <w:bCs/>
              </w:rPr>
              <w:t>norepinephrine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7DD9B14" w14:textId="77777777" w:rsidR="00763624" w:rsidRPr="00763624" w:rsidRDefault="00763624" w:rsidP="00763624">
            <w:pPr>
              <w:snapToGrid w:val="0"/>
              <w:spacing w:after="0" w:line="160" w:lineRule="atLeast"/>
            </w:pPr>
            <w:r w:rsidRPr="00763624">
              <w:t>parenteral</w:t>
            </w:r>
          </w:p>
        </w:tc>
      </w:tr>
      <w:tr w:rsidR="00763624" w:rsidRPr="00763624" w14:paraId="3E4E0A3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4B3454C" w14:textId="77777777" w:rsidR="00763624" w:rsidRPr="00763624" w:rsidRDefault="00763624" w:rsidP="00763624">
            <w:pPr>
              <w:snapToGrid w:val="0"/>
              <w:spacing w:after="0" w:line="160" w:lineRule="atLeast"/>
            </w:pPr>
            <w:proofErr w:type="spellStart"/>
            <w:r w:rsidRPr="00763624">
              <w:rPr>
                <w:b/>
                <w:bCs/>
              </w:rPr>
              <w:t>obinutuzumab</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C7637F8" w14:textId="77777777" w:rsidR="00763624" w:rsidRPr="00763624" w:rsidRDefault="00763624" w:rsidP="00763624">
            <w:pPr>
              <w:snapToGrid w:val="0"/>
              <w:spacing w:after="0" w:line="160" w:lineRule="atLeast"/>
            </w:pPr>
            <w:r w:rsidRPr="00763624">
              <w:t>parenteral</w:t>
            </w:r>
          </w:p>
        </w:tc>
      </w:tr>
      <w:tr w:rsidR="00763624" w:rsidRPr="00763624" w14:paraId="41DE3CE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2EBF4F8" w14:textId="77777777" w:rsidR="00763624" w:rsidRPr="00763624" w:rsidRDefault="00763624" w:rsidP="00763624">
            <w:pPr>
              <w:snapToGrid w:val="0"/>
              <w:spacing w:after="0" w:line="160" w:lineRule="atLeast"/>
            </w:pPr>
            <w:r w:rsidRPr="00763624">
              <w:rPr>
                <w:b/>
                <w:bCs/>
              </w:rPr>
              <w:t>oxytocin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1219F04" w14:textId="77777777" w:rsidR="00763624" w:rsidRPr="00763624" w:rsidRDefault="00763624" w:rsidP="00763624">
            <w:pPr>
              <w:snapToGrid w:val="0"/>
              <w:spacing w:after="0" w:line="160" w:lineRule="atLeast"/>
            </w:pPr>
            <w:r w:rsidRPr="00763624">
              <w:t>parenteral</w:t>
            </w:r>
          </w:p>
        </w:tc>
      </w:tr>
      <w:tr w:rsidR="00763624" w:rsidRPr="00763624" w14:paraId="1FFB74E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5D2A18B" w14:textId="77777777" w:rsidR="00763624" w:rsidRPr="00763624" w:rsidRDefault="00763624" w:rsidP="00763624">
            <w:pPr>
              <w:snapToGrid w:val="0"/>
              <w:spacing w:after="0" w:line="160" w:lineRule="atLeast"/>
            </w:pPr>
            <w:r w:rsidRPr="00763624">
              <w:rPr>
                <w:b/>
                <w:bCs/>
              </w:rPr>
              <w:t>paclitaxel</w:t>
            </w:r>
            <w:r w:rsidRPr="00763624">
              <w:t> (nanoparticle form)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C8BF323" w14:textId="77777777" w:rsidR="00763624" w:rsidRPr="00763624" w:rsidRDefault="00763624" w:rsidP="00763624">
            <w:pPr>
              <w:snapToGrid w:val="0"/>
              <w:spacing w:after="0" w:line="160" w:lineRule="atLeast"/>
            </w:pPr>
            <w:r w:rsidRPr="00763624">
              <w:t>parenteral</w:t>
            </w:r>
          </w:p>
        </w:tc>
      </w:tr>
      <w:tr w:rsidR="00763624" w:rsidRPr="00763624" w14:paraId="6EBC532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CC0D767" w14:textId="77777777" w:rsidR="00763624" w:rsidRPr="00763624" w:rsidRDefault="00763624" w:rsidP="00763624">
            <w:pPr>
              <w:snapToGrid w:val="0"/>
              <w:spacing w:after="0" w:line="160" w:lineRule="atLeast"/>
            </w:pPr>
            <w:proofErr w:type="spellStart"/>
            <w:r w:rsidRPr="00763624">
              <w:rPr>
                <w:b/>
                <w:bCs/>
              </w:rPr>
              <w:t>pegaspargase</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D144C34" w14:textId="77777777" w:rsidR="00763624" w:rsidRPr="00763624" w:rsidRDefault="00763624" w:rsidP="00763624">
            <w:pPr>
              <w:snapToGrid w:val="0"/>
              <w:spacing w:after="0" w:line="160" w:lineRule="atLeast"/>
            </w:pPr>
            <w:r w:rsidRPr="00763624">
              <w:t>parenteral</w:t>
            </w:r>
          </w:p>
        </w:tc>
      </w:tr>
      <w:tr w:rsidR="00763624" w:rsidRPr="00763624" w14:paraId="5BE2A92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9CF37CA" w14:textId="77777777" w:rsidR="00763624" w:rsidRPr="00763624" w:rsidRDefault="00763624" w:rsidP="00763624">
            <w:pPr>
              <w:snapToGrid w:val="0"/>
              <w:spacing w:after="0" w:line="160" w:lineRule="atLeast"/>
            </w:pPr>
            <w:proofErr w:type="spellStart"/>
            <w:r w:rsidRPr="00763624">
              <w:rPr>
                <w:b/>
                <w:bCs/>
              </w:rPr>
              <w:t>pegfilgrastim</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D9C2FCD" w14:textId="77777777" w:rsidR="00763624" w:rsidRPr="00763624" w:rsidRDefault="00763624" w:rsidP="00763624">
            <w:pPr>
              <w:snapToGrid w:val="0"/>
              <w:spacing w:after="0" w:line="160" w:lineRule="atLeast"/>
            </w:pPr>
            <w:r w:rsidRPr="00763624">
              <w:t>parenteral</w:t>
            </w:r>
          </w:p>
        </w:tc>
      </w:tr>
      <w:tr w:rsidR="00763624" w:rsidRPr="00763624" w14:paraId="5BE4F08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17F5924" w14:textId="77777777" w:rsidR="00763624" w:rsidRPr="00763624" w:rsidRDefault="00763624" w:rsidP="00763624">
            <w:pPr>
              <w:snapToGrid w:val="0"/>
              <w:spacing w:after="0" w:line="160" w:lineRule="atLeast"/>
            </w:pPr>
            <w:r w:rsidRPr="00763624">
              <w:rPr>
                <w:b/>
                <w:bCs/>
              </w:rPr>
              <w:lastRenderedPageBreak/>
              <w:t>pembrolizumab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D8B811D" w14:textId="77777777" w:rsidR="00763624" w:rsidRPr="00763624" w:rsidRDefault="00763624" w:rsidP="00763624">
            <w:pPr>
              <w:snapToGrid w:val="0"/>
              <w:spacing w:after="0" w:line="160" w:lineRule="atLeast"/>
            </w:pPr>
            <w:r w:rsidRPr="00763624">
              <w:t>parenteral</w:t>
            </w:r>
          </w:p>
        </w:tc>
      </w:tr>
      <w:tr w:rsidR="00763624" w:rsidRPr="00763624" w14:paraId="72F8750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8EB5CD3" w14:textId="77777777" w:rsidR="00763624" w:rsidRPr="00763624" w:rsidRDefault="00763624" w:rsidP="00763624">
            <w:pPr>
              <w:snapToGrid w:val="0"/>
              <w:spacing w:after="0" w:line="160" w:lineRule="atLeast"/>
            </w:pPr>
            <w:r w:rsidRPr="00763624">
              <w:rPr>
                <w:b/>
                <w:bCs/>
              </w:rPr>
              <w:t>penicillin G</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855144B" w14:textId="77777777" w:rsidR="00763624" w:rsidRPr="00763624" w:rsidRDefault="00763624" w:rsidP="00763624">
            <w:pPr>
              <w:snapToGrid w:val="0"/>
              <w:spacing w:after="0" w:line="160" w:lineRule="atLeast"/>
            </w:pPr>
            <w:r w:rsidRPr="00763624">
              <w:t>parenteral</w:t>
            </w:r>
          </w:p>
        </w:tc>
      </w:tr>
      <w:tr w:rsidR="00763624" w:rsidRPr="00763624" w14:paraId="1ABFE2F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0ADBFFE" w14:textId="77777777" w:rsidR="00763624" w:rsidRPr="00763624" w:rsidRDefault="00763624" w:rsidP="00763624">
            <w:pPr>
              <w:snapToGrid w:val="0"/>
              <w:spacing w:after="0" w:line="160" w:lineRule="atLeast"/>
            </w:pPr>
            <w:proofErr w:type="spellStart"/>
            <w:r w:rsidRPr="00763624">
              <w:rPr>
                <w:b/>
                <w:bCs/>
              </w:rPr>
              <w:t>pertuzumab</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4AB4D43" w14:textId="77777777" w:rsidR="00763624" w:rsidRPr="00763624" w:rsidRDefault="00763624" w:rsidP="00763624">
            <w:pPr>
              <w:snapToGrid w:val="0"/>
              <w:spacing w:after="0" w:line="160" w:lineRule="atLeast"/>
            </w:pPr>
            <w:r w:rsidRPr="00763624">
              <w:t>parenteral</w:t>
            </w:r>
          </w:p>
        </w:tc>
      </w:tr>
      <w:tr w:rsidR="00763624" w:rsidRPr="00763624" w14:paraId="33969D1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E72556D" w14:textId="77777777" w:rsidR="00763624" w:rsidRPr="00763624" w:rsidRDefault="00763624" w:rsidP="00763624">
            <w:pPr>
              <w:snapToGrid w:val="0"/>
              <w:spacing w:after="0" w:line="160" w:lineRule="atLeast"/>
            </w:pPr>
            <w:proofErr w:type="spellStart"/>
            <w:r w:rsidRPr="00763624">
              <w:rPr>
                <w:b/>
                <w:bCs/>
              </w:rPr>
              <w:t>pertuzumab</w:t>
            </w:r>
            <w:proofErr w:type="spellEnd"/>
            <w:r w:rsidRPr="00763624">
              <w:rPr>
                <w:b/>
                <w:bCs/>
              </w:rPr>
              <w:t xml:space="preserve"> and trastuzumab</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3440593" w14:textId="77777777" w:rsidR="00763624" w:rsidRPr="00763624" w:rsidRDefault="00763624" w:rsidP="00763624">
            <w:pPr>
              <w:snapToGrid w:val="0"/>
              <w:spacing w:after="0" w:line="160" w:lineRule="atLeast"/>
            </w:pPr>
            <w:r w:rsidRPr="00763624">
              <w:t>parenteral</w:t>
            </w:r>
          </w:p>
        </w:tc>
      </w:tr>
      <w:tr w:rsidR="00763624" w:rsidRPr="00763624" w14:paraId="4268CDA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4162AAB" w14:textId="77777777" w:rsidR="00763624" w:rsidRPr="00763624" w:rsidRDefault="00763624" w:rsidP="00763624">
            <w:pPr>
              <w:snapToGrid w:val="0"/>
              <w:spacing w:after="0" w:line="160" w:lineRule="atLeast"/>
            </w:pPr>
            <w:r w:rsidRPr="00763624">
              <w:rPr>
                <w:b/>
                <w:bCs/>
              </w:rPr>
              <w:t>phenytoin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16FA063" w14:textId="77777777" w:rsidR="00763624" w:rsidRPr="00763624" w:rsidRDefault="00763624" w:rsidP="00763624">
            <w:pPr>
              <w:snapToGrid w:val="0"/>
              <w:spacing w:after="0" w:line="160" w:lineRule="atLeast"/>
            </w:pPr>
            <w:r w:rsidRPr="00763624">
              <w:t>parenteral</w:t>
            </w:r>
          </w:p>
        </w:tc>
      </w:tr>
      <w:tr w:rsidR="00763624" w:rsidRPr="00763624" w14:paraId="13B724B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9A58742" w14:textId="77777777" w:rsidR="00763624" w:rsidRPr="00763624" w:rsidRDefault="00763624" w:rsidP="00763624">
            <w:pPr>
              <w:snapToGrid w:val="0"/>
              <w:spacing w:after="0" w:line="160" w:lineRule="atLeast"/>
            </w:pPr>
            <w:r w:rsidRPr="00763624">
              <w:rPr>
                <w:b/>
                <w:bCs/>
              </w:rPr>
              <w:t>piperacillin and tazobactam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E42CCC9" w14:textId="77777777" w:rsidR="00763624" w:rsidRPr="00763624" w:rsidRDefault="00763624" w:rsidP="00763624">
            <w:pPr>
              <w:snapToGrid w:val="0"/>
              <w:spacing w:after="0" w:line="160" w:lineRule="atLeast"/>
            </w:pPr>
            <w:r w:rsidRPr="00763624">
              <w:t>parenteral</w:t>
            </w:r>
          </w:p>
        </w:tc>
      </w:tr>
      <w:tr w:rsidR="00763624" w:rsidRPr="00763624" w14:paraId="6BD958E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4097240" w14:textId="77777777" w:rsidR="00763624" w:rsidRPr="00763624" w:rsidRDefault="00763624" w:rsidP="00763624">
            <w:pPr>
              <w:snapToGrid w:val="0"/>
              <w:spacing w:after="0" w:line="160" w:lineRule="atLeast"/>
            </w:pPr>
            <w:r w:rsidRPr="00763624">
              <w:rPr>
                <w:b/>
                <w:bCs/>
              </w:rPr>
              <w:t>pneumococcal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970EA4D" w14:textId="77777777" w:rsidR="00763624" w:rsidRPr="00763624" w:rsidRDefault="00763624" w:rsidP="00763624">
            <w:pPr>
              <w:snapToGrid w:val="0"/>
              <w:spacing w:after="0" w:line="160" w:lineRule="atLeast"/>
            </w:pPr>
            <w:r w:rsidRPr="00763624">
              <w:t>parenteral</w:t>
            </w:r>
          </w:p>
        </w:tc>
      </w:tr>
      <w:tr w:rsidR="00763624" w:rsidRPr="00763624" w14:paraId="3C26958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C35447B" w14:textId="77777777" w:rsidR="00763624" w:rsidRPr="00763624" w:rsidRDefault="00763624" w:rsidP="00763624">
            <w:pPr>
              <w:snapToGrid w:val="0"/>
              <w:spacing w:after="0" w:line="160" w:lineRule="atLeast"/>
            </w:pPr>
            <w:proofErr w:type="spellStart"/>
            <w:r w:rsidRPr="00763624">
              <w:rPr>
                <w:b/>
                <w:bCs/>
              </w:rPr>
              <w:t>polatuzumab</w:t>
            </w:r>
            <w:proofErr w:type="spellEnd"/>
            <w:r w:rsidRPr="00763624">
              <w:rPr>
                <w:b/>
                <w:bCs/>
              </w:rPr>
              <w:t xml:space="preserve"> </w:t>
            </w:r>
            <w:proofErr w:type="spellStart"/>
            <w:r w:rsidRPr="00763624">
              <w:rPr>
                <w:b/>
                <w:bCs/>
              </w:rPr>
              <w:t>vedotin</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290E824" w14:textId="77777777" w:rsidR="00763624" w:rsidRPr="00763624" w:rsidRDefault="00763624" w:rsidP="00763624">
            <w:pPr>
              <w:snapToGrid w:val="0"/>
              <w:spacing w:after="0" w:line="160" w:lineRule="atLeast"/>
            </w:pPr>
            <w:r w:rsidRPr="00763624">
              <w:t>parenteral</w:t>
            </w:r>
          </w:p>
        </w:tc>
      </w:tr>
      <w:tr w:rsidR="00763624" w:rsidRPr="00763624" w14:paraId="33B46183"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F433DFA" w14:textId="77777777" w:rsidR="00763624" w:rsidRPr="00763624" w:rsidRDefault="00763624" w:rsidP="00763624">
            <w:pPr>
              <w:snapToGrid w:val="0"/>
              <w:spacing w:after="0" w:line="160" w:lineRule="atLeast"/>
            </w:pPr>
            <w:r w:rsidRPr="00763624">
              <w:rPr>
                <w:b/>
                <w:bCs/>
              </w:rPr>
              <w:t>polio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1AD62CE" w14:textId="77777777" w:rsidR="00763624" w:rsidRPr="00763624" w:rsidRDefault="00763624" w:rsidP="00763624">
            <w:pPr>
              <w:snapToGrid w:val="0"/>
              <w:spacing w:after="0" w:line="160" w:lineRule="atLeast"/>
            </w:pPr>
            <w:r w:rsidRPr="00763624">
              <w:t>parenteral</w:t>
            </w:r>
          </w:p>
        </w:tc>
      </w:tr>
      <w:tr w:rsidR="00763624" w:rsidRPr="00763624" w14:paraId="06E7092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0DAEEA" w14:textId="77777777" w:rsidR="00763624" w:rsidRPr="00763624" w:rsidRDefault="00763624" w:rsidP="00763624">
            <w:pPr>
              <w:snapToGrid w:val="0"/>
              <w:spacing w:after="0" w:line="160" w:lineRule="atLeast"/>
            </w:pPr>
            <w:r w:rsidRPr="00763624">
              <w:rPr>
                <w:b/>
                <w:bCs/>
              </w:rPr>
              <w:t>potassium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9FC160E" w14:textId="77777777" w:rsidR="00763624" w:rsidRPr="00763624" w:rsidRDefault="00763624" w:rsidP="00763624">
            <w:pPr>
              <w:snapToGrid w:val="0"/>
              <w:spacing w:after="0" w:line="160" w:lineRule="atLeast"/>
            </w:pPr>
            <w:r w:rsidRPr="00763624">
              <w:t>parenteral</w:t>
            </w:r>
          </w:p>
        </w:tc>
      </w:tr>
      <w:tr w:rsidR="00763624" w:rsidRPr="00763624" w14:paraId="3D8949B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855FBFF" w14:textId="77777777" w:rsidR="00763624" w:rsidRPr="00763624" w:rsidRDefault="00763624" w:rsidP="00763624">
            <w:pPr>
              <w:snapToGrid w:val="0"/>
              <w:spacing w:after="0" w:line="160" w:lineRule="atLeast"/>
            </w:pPr>
            <w:r w:rsidRPr="00763624">
              <w:rPr>
                <w:b/>
                <w:bCs/>
              </w:rPr>
              <w:t>protamine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5B14AA4" w14:textId="77777777" w:rsidR="00763624" w:rsidRPr="00763624" w:rsidRDefault="00763624" w:rsidP="00763624">
            <w:pPr>
              <w:snapToGrid w:val="0"/>
              <w:spacing w:after="0" w:line="160" w:lineRule="atLeast"/>
            </w:pPr>
            <w:r w:rsidRPr="00763624">
              <w:t>parenteral</w:t>
            </w:r>
          </w:p>
        </w:tc>
      </w:tr>
      <w:tr w:rsidR="00763624" w:rsidRPr="00763624" w14:paraId="4E70914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6DE175F" w14:textId="77777777" w:rsidR="00763624" w:rsidRPr="00763624" w:rsidRDefault="00763624" w:rsidP="00763624">
            <w:pPr>
              <w:snapToGrid w:val="0"/>
              <w:spacing w:after="0" w:line="160" w:lineRule="atLeast"/>
            </w:pPr>
            <w:r w:rsidRPr="00763624">
              <w:rPr>
                <w:b/>
                <w:bCs/>
              </w:rPr>
              <w:t>pyrazinamide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1337733" w14:textId="77777777" w:rsidR="00763624" w:rsidRPr="00763624" w:rsidRDefault="00763624" w:rsidP="00763624">
            <w:pPr>
              <w:snapToGrid w:val="0"/>
              <w:spacing w:after="0" w:line="160" w:lineRule="atLeast"/>
            </w:pPr>
            <w:r w:rsidRPr="00763624">
              <w:t>oral</w:t>
            </w:r>
          </w:p>
        </w:tc>
      </w:tr>
      <w:tr w:rsidR="00763624" w:rsidRPr="00763624" w14:paraId="3B30ADF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F824202" w14:textId="77777777" w:rsidR="00763624" w:rsidRPr="00763624" w:rsidRDefault="00763624" w:rsidP="00763624">
            <w:pPr>
              <w:snapToGrid w:val="0"/>
              <w:spacing w:after="0" w:line="160" w:lineRule="atLeast"/>
            </w:pPr>
            <w:r w:rsidRPr="00763624">
              <w:rPr>
                <w:b/>
                <w:bCs/>
              </w:rPr>
              <w:t>rabies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2B322C" w14:textId="77777777" w:rsidR="00763624" w:rsidRPr="00763624" w:rsidRDefault="00763624" w:rsidP="00763624">
            <w:pPr>
              <w:snapToGrid w:val="0"/>
              <w:spacing w:after="0" w:line="160" w:lineRule="atLeast"/>
            </w:pPr>
            <w:r w:rsidRPr="00763624">
              <w:t>parenteral</w:t>
            </w:r>
          </w:p>
        </w:tc>
      </w:tr>
      <w:tr w:rsidR="00763624" w:rsidRPr="00763624" w14:paraId="68E9EFC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58E6007" w14:textId="77777777" w:rsidR="00763624" w:rsidRPr="00763624" w:rsidRDefault="00763624" w:rsidP="00763624">
            <w:pPr>
              <w:snapToGrid w:val="0"/>
              <w:spacing w:after="0" w:line="160" w:lineRule="atLeast"/>
            </w:pPr>
            <w:r w:rsidRPr="00763624">
              <w:rPr>
                <w:b/>
                <w:bCs/>
              </w:rPr>
              <w:t>rabies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206C615" w14:textId="77777777" w:rsidR="00763624" w:rsidRPr="00763624" w:rsidRDefault="00763624" w:rsidP="00763624">
            <w:pPr>
              <w:snapToGrid w:val="0"/>
              <w:spacing w:after="0" w:line="160" w:lineRule="atLeast"/>
            </w:pPr>
            <w:r w:rsidRPr="00763624">
              <w:t>parenteral</w:t>
            </w:r>
          </w:p>
        </w:tc>
      </w:tr>
      <w:tr w:rsidR="00763624" w:rsidRPr="00763624" w14:paraId="646A553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1A10241" w14:textId="77777777" w:rsidR="00763624" w:rsidRPr="00763624" w:rsidRDefault="00763624" w:rsidP="00763624">
            <w:pPr>
              <w:snapToGrid w:val="0"/>
              <w:spacing w:after="0" w:line="160" w:lineRule="atLeast"/>
            </w:pPr>
            <w:r w:rsidRPr="00763624">
              <w:rPr>
                <w:b/>
                <w:bCs/>
              </w:rPr>
              <w:t>ribavirin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8E06AB4" w14:textId="77777777" w:rsidR="00763624" w:rsidRPr="00763624" w:rsidRDefault="00763624" w:rsidP="00763624">
            <w:pPr>
              <w:snapToGrid w:val="0"/>
              <w:spacing w:after="0" w:line="160" w:lineRule="atLeast"/>
            </w:pPr>
            <w:r w:rsidRPr="00763624">
              <w:t>inhaled</w:t>
            </w:r>
          </w:p>
        </w:tc>
      </w:tr>
      <w:tr w:rsidR="00763624" w:rsidRPr="00763624" w14:paraId="6277FDC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E548A1B" w14:textId="77777777" w:rsidR="00763624" w:rsidRPr="00763624" w:rsidRDefault="00763624" w:rsidP="00763624">
            <w:pPr>
              <w:snapToGrid w:val="0"/>
              <w:spacing w:after="0" w:line="160" w:lineRule="atLeast"/>
            </w:pPr>
            <w:r w:rsidRPr="00763624">
              <w:rPr>
                <w:b/>
                <w:bCs/>
              </w:rPr>
              <w:t>rifampin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C430732" w14:textId="77777777" w:rsidR="00763624" w:rsidRPr="00763624" w:rsidRDefault="00763624" w:rsidP="00763624">
            <w:pPr>
              <w:snapToGrid w:val="0"/>
              <w:spacing w:after="0" w:line="160" w:lineRule="atLeast"/>
            </w:pPr>
            <w:r w:rsidRPr="00763624">
              <w:t>oral</w:t>
            </w:r>
          </w:p>
        </w:tc>
      </w:tr>
      <w:tr w:rsidR="00763624" w:rsidRPr="00763624" w14:paraId="2B1C4B02"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04EA0DE" w14:textId="77777777" w:rsidR="00763624" w:rsidRPr="00763624" w:rsidRDefault="00763624" w:rsidP="00763624">
            <w:pPr>
              <w:snapToGrid w:val="0"/>
              <w:spacing w:after="0" w:line="160" w:lineRule="atLeast"/>
            </w:pPr>
            <w:r w:rsidRPr="00763624">
              <w:rPr>
                <w:b/>
                <w:bCs/>
              </w:rPr>
              <w:t>rituximab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7E30A0" w14:textId="77777777" w:rsidR="00763624" w:rsidRPr="00763624" w:rsidRDefault="00763624" w:rsidP="00763624">
            <w:pPr>
              <w:snapToGrid w:val="0"/>
              <w:spacing w:after="0" w:line="160" w:lineRule="atLeast"/>
            </w:pPr>
            <w:r w:rsidRPr="00763624">
              <w:t>parenteral</w:t>
            </w:r>
          </w:p>
        </w:tc>
      </w:tr>
      <w:tr w:rsidR="00763624" w:rsidRPr="00763624" w14:paraId="116DFA9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776603E" w14:textId="77777777" w:rsidR="00763624" w:rsidRPr="00763624" w:rsidRDefault="00763624" w:rsidP="00763624">
            <w:pPr>
              <w:snapToGrid w:val="0"/>
              <w:spacing w:after="0" w:line="160" w:lineRule="atLeast"/>
            </w:pPr>
            <w:r w:rsidRPr="00763624">
              <w:rPr>
                <w:b/>
                <w:bCs/>
              </w:rPr>
              <w:t>romiplostim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3572688" w14:textId="77777777" w:rsidR="00763624" w:rsidRPr="00763624" w:rsidRDefault="00763624" w:rsidP="00763624">
            <w:pPr>
              <w:snapToGrid w:val="0"/>
              <w:spacing w:after="0" w:line="160" w:lineRule="atLeast"/>
            </w:pPr>
            <w:r w:rsidRPr="00763624">
              <w:t>parenteral</w:t>
            </w:r>
          </w:p>
        </w:tc>
      </w:tr>
      <w:tr w:rsidR="00763624" w:rsidRPr="00763624" w14:paraId="310C3A1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33220E8" w14:textId="77777777" w:rsidR="00763624" w:rsidRPr="00763624" w:rsidRDefault="00763624" w:rsidP="00763624">
            <w:pPr>
              <w:snapToGrid w:val="0"/>
              <w:spacing w:after="0" w:line="160" w:lineRule="atLeast"/>
            </w:pPr>
            <w:r w:rsidRPr="00763624">
              <w:rPr>
                <w:b/>
                <w:bCs/>
              </w:rPr>
              <w:t>rotavirus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5253FC4" w14:textId="77777777" w:rsidR="00763624" w:rsidRPr="00763624" w:rsidRDefault="00763624" w:rsidP="00763624">
            <w:pPr>
              <w:snapToGrid w:val="0"/>
              <w:spacing w:after="0" w:line="160" w:lineRule="atLeast"/>
            </w:pPr>
            <w:r w:rsidRPr="00763624">
              <w:t>oral</w:t>
            </w:r>
          </w:p>
        </w:tc>
      </w:tr>
      <w:tr w:rsidR="00763624" w:rsidRPr="00763624" w14:paraId="0CED0121"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D1D4FCF" w14:textId="77777777" w:rsidR="00763624" w:rsidRPr="00763624" w:rsidRDefault="00763624" w:rsidP="00763624">
            <w:pPr>
              <w:snapToGrid w:val="0"/>
              <w:spacing w:after="0" w:line="160" w:lineRule="atLeast"/>
            </w:pPr>
            <w:proofErr w:type="spellStart"/>
            <w:r w:rsidRPr="00763624">
              <w:rPr>
                <w:b/>
                <w:bCs/>
              </w:rPr>
              <w:t>ruxolitinib</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88B8EAB" w14:textId="77777777" w:rsidR="00763624" w:rsidRPr="00763624" w:rsidRDefault="00763624" w:rsidP="00763624">
            <w:pPr>
              <w:snapToGrid w:val="0"/>
              <w:spacing w:after="0" w:line="160" w:lineRule="atLeast"/>
            </w:pPr>
            <w:r w:rsidRPr="00763624">
              <w:t>oral</w:t>
            </w:r>
          </w:p>
        </w:tc>
      </w:tr>
      <w:tr w:rsidR="00763624" w:rsidRPr="00763624" w14:paraId="6E02B35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B50FBA4" w14:textId="77777777" w:rsidR="00763624" w:rsidRPr="00763624" w:rsidRDefault="00763624" w:rsidP="00763624">
            <w:pPr>
              <w:snapToGrid w:val="0"/>
              <w:spacing w:after="0" w:line="160" w:lineRule="atLeast"/>
            </w:pPr>
            <w:r w:rsidRPr="00763624">
              <w:rPr>
                <w:b/>
                <w:bCs/>
              </w:rPr>
              <w:t>salbutamol</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CD2CCAB" w14:textId="77777777" w:rsidR="00763624" w:rsidRPr="00763624" w:rsidRDefault="00763624" w:rsidP="00763624">
            <w:pPr>
              <w:snapToGrid w:val="0"/>
              <w:spacing w:after="0" w:line="160" w:lineRule="atLeast"/>
            </w:pPr>
            <w:r w:rsidRPr="00763624">
              <w:t>parenteral</w:t>
            </w:r>
          </w:p>
        </w:tc>
      </w:tr>
      <w:tr w:rsidR="00763624" w:rsidRPr="00763624" w14:paraId="1E4872B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78A69D6A" w14:textId="77777777" w:rsidR="00763624" w:rsidRPr="00763624" w:rsidRDefault="00763624" w:rsidP="00763624">
            <w:pPr>
              <w:snapToGrid w:val="0"/>
              <w:spacing w:after="0" w:line="160" w:lineRule="atLeast"/>
            </w:pPr>
            <w:proofErr w:type="spellStart"/>
            <w:r w:rsidRPr="00763624">
              <w:rPr>
                <w:b/>
                <w:bCs/>
              </w:rPr>
              <w:t>sebelipase</w:t>
            </w:r>
            <w:proofErr w:type="spellEnd"/>
            <w:r w:rsidRPr="00763624">
              <w:rPr>
                <w:b/>
                <w:bCs/>
              </w:rPr>
              <w:t xml:space="preserve"> alfa</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AF1EE1C" w14:textId="77777777" w:rsidR="00763624" w:rsidRPr="00763624" w:rsidRDefault="00763624" w:rsidP="00763624">
            <w:pPr>
              <w:snapToGrid w:val="0"/>
              <w:spacing w:after="0" w:line="160" w:lineRule="atLeast"/>
            </w:pPr>
            <w:r w:rsidRPr="00763624">
              <w:t>parenteral</w:t>
            </w:r>
          </w:p>
        </w:tc>
      </w:tr>
      <w:tr w:rsidR="00763624" w:rsidRPr="00763624" w14:paraId="3ED3344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C661925" w14:textId="77777777" w:rsidR="00763624" w:rsidRPr="00763624" w:rsidRDefault="00763624" w:rsidP="00763624">
            <w:pPr>
              <w:snapToGrid w:val="0"/>
              <w:spacing w:after="0" w:line="160" w:lineRule="atLeast"/>
            </w:pPr>
            <w:r w:rsidRPr="00763624">
              <w:rPr>
                <w:b/>
                <w:bCs/>
              </w:rPr>
              <w:t>selenium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3DF7688" w14:textId="77777777" w:rsidR="00763624" w:rsidRPr="00763624" w:rsidRDefault="00763624" w:rsidP="00763624">
            <w:pPr>
              <w:snapToGrid w:val="0"/>
              <w:spacing w:after="0" w:line="160" w:lineRule="atLeast"/>
            </w:pPr>
            <w:r w:rsidRPr="00763624">
              <w:t>parenteral</w:t>
            </w:r>
          </w:p>
        </w:tc>
      </w:tr>
      <w:tr w:rsidR="00763624" w:rsidRPr="00763624" w14:paraId="65900B0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78A08DF" w14:textId="77777777" w:rsidR="00763624" w:rsidRPr="00763624" w:rsidRDefault="00763624" w:rsidP="00763624">
            <w:pPr>
              <w:snapToGrid w:val="0"/>
              <w:spacing w:after="0" w:line="160" w:lineRule="atLeast"/>
            </w:pPr>
            <w:r w:rsidRPr="00763624">
              <w:rPr>
                <w:b/>
                <w:bCs/>
              </w:rPr>
              <w:t>smallpox and mpox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58334DF" w14:textId="77777777" w:rsidR="00763624" w:rsidRPr="00763624" w:rsidRDefault="00763624" w:rsidP="00763624">
            <w:pPr>
              <w:snapToGrid w:val="0"/>
              <w:spacing w:after="0" w:line="160" w:lineRule="atLeast"/>
            </w:pPr>
            <w:r w:rsidRPr="00763624">
              <w:t>parenteral</w:t>
            </w:r>
          </w:p>
        </w:tc>
      </w:tr>
      <w:tr w:rsidR="00763624" w:rsidRPr="00763624" w14:paraId="34F1A728"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203F856" w14:textId="77777777" w:rsidR="00763624" w:rsidRPr="00763624" w:rsidRDefault="00763624" w:rsidP="00763624">
            <w:pPr>
              <w:snapToGrid w:val="0"/>
              <w:spacing w:after="0" w:line="160" w:lineRule="atLeast"/>
            </w:pPr>
            <w:r w:rsidRPr="00763624">
              <w:rPr>
                <w:b/>
                <w:bCs/>
              </w:rPr>
              <w:t>sodium</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D5AF18E" w14:textId="77777777" w:rsidR="00763624" w:rsidRPr="00763624" w:rsidRDefault="00763624" w:rsidP="00763624">
            <w:pPr>
              <w:snapToGrid w:val="0"/>
              <w:spacing w:after="0" w:line="160" w:lineRule="atLeast"/>
            </w:pPr>
            <w:r w:rsidRPr="00763624">
              <w:t>parenteral</w:t>
            </w:r>
          </w:p>
        </w:tc>
      </w:tr>
      <w:tr w:rsidR="00763624" w:rsidRPr="00763624" w14:paraId="4F17680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5A689D1" w14:textId="77777777" w:rsidR="00763624" w:rsidRPr="00763624" w:rsidRDefault="00763624" w:rsidP="00763624">
            <w:pPr>
              <w:snapToGrid w:val="0"/>
              <w:spacing w:after="0" w:line="160" w:lineRule="atLeast"/>
            </w:pPr>
            <w:r w:rsidRPr="00763624">
              <w:rPr>
                <w:b/>
                <w:bCs/>
              </w:rPr>
              <w:t>sulfamethoxazole and trimethoprim</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101DA10" w14:textId="77777777" w:rsidR="00763624" w:rsidRPr="00763624" w:rsidRDefault="00763624" w:rsidP="00763624">
            <w:pPr>
              <w:snapToGrid w:val="0"/>
              <w:spacing w:after="0" w:line="160" w:lineRule="atLeast"/>
            </w:pPr>
            <w:r w:rsidRPr="00763624">
              <w:t>parenteral</w:t>
            </w:r>
          </w:p>
        </w:tc>
      </w:tr>
      <w:tr w:rsidR="00763624" w:rsidRPr="00763624" w14:paraId="0CE9D1E9"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FFFF5E5" w14:textId="77777777" w:rsidR="00763624" w:rsidRPr="00763624" w:rsidRDefault="00763624" w:rsidP="00763624">
            <w:pPr>
              <w:snapToGrid w:val="0"/>
              <w:spacing w:after="0" w:line="160" w:lineRule="atLeast"/>
            </w:pPr>
            <w:r w:rsidRPr="00763624">
              <w:rPr>
                <w:b/>
                <w:bCs/>
              </w:rPr>
              <w:t>succinylcholine chloride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98921FE" w14:textId="77777777" w:rsidR="00763624" w:rsidRPr="00763624" w:rsidRDefault="00763624" w:rsidP="00763624">
            <w:pPr>
              <w:snapToGrid w:val="0"/>
              <w:spacing w:after="0" w:line="160" w:lineRule="atLeast"/>
            </w:pPr>
            <w:r w:rsidRPr="00763624">
              <w:t>parenteral</w:t>
            </w:r>
          </w:p>
        </w:tc>
      </w:tr>
      <w:tr w:rsidR="00763624" w:rsidRPr="00763624" w14:paraId="06D7BDC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12699CF" w14:textId="77777777" w:rsidR="00763624" w:rsidRPr="00763624" w:rsidRDefault="00763624" w:rsidP="00763624">
            <w:pPr>
              <w:snapToGrid w:val="0"/>
              <w:spacing w:after="0" w:line="160" w:lineRule="atLeast"/>
            </w:pPr>
            <w:proofErr w:type="spellStart"/>
            <w:r w:rsidRPr="00763624">
              <w:rPr>
                <w:b/>
                <w:bCs/>
              </w:rPr>
              <w:t>tenecteplase</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0E75C96" w14:textId="77777777" w:rsidR="00763624" w:rsidRPr="00763624" w:rsidRDefault="00763624" w:rsidP="00763624">
            <w:pPr>
              <w:snapToGrid w:val="0"/>
              <w:spacing w:after="0" w:line="160" w:lineRule="atLeast"/>
            </w:pPr>
            <w:r w:rsidRPr="00763624">
              <w:t>parenteral</w:t>
            </w:r>
          </w:p>
        </w:tc>
      </w:tr>
      <w:tr w:rsidR="00763624" w:rsidRPr="00763624" w14:paraId="00A807A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D989E6A" w14:textId="77777777" w:rsidR="00763624" w:rsidRPr="00763624" w:rsidRDefault="00763624" w:rsidP="00763624">
            <w:pPr>
              <w:snapToGrid w:val="0"/>
              <w:spacing w:after="0" w:line="160" w:lineRule="atLeast"/>
            </w:pPr>
            <w:r w:rsidRPr="00763624">
              <w:rPr>
                <w:b/>
                <w:bCs/>
              </w:rPr>
              <w:t>tetanus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3020C8C" w14:textId="77777777" w:rsidR="00763624" w:rsidRPr="00763624" w:rsidRDefault="00763624" w:rsidP="00763624">
            <w:pPr>
              <w:snapToGrid w:val="0"/>
              <w:spacing w:after="0" w:line="160" w:lineRule="atLeast"/>
            </w:pPr>
            <w:r w:rsidRPr="00763624">
              <w:t>parenteral</w:t>
            </w:r>
          </w:p>
        </w:tc>
      </w:tr>
      <w:tr w:rsidR="00763624" w:rsidRPr="00763624" w14:paraId="3B2196C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939DB92" w14:textId="77777777" w:rsidR="00763624" w:rsidRPr="00763624" w:rsidRDefault="00763624" w:rsidP="00763624">
            <w:pPr>
              <w:snapToGrid w:val="0"/>
              <w:spacing w:after="0" w:line="160" w:lineRule="atLeast"/>
            </w:pPr>
            <w:r w:rsidRPr="00763624">
              <w:rPr>
                <w:b/>
                <w:bCs/>
              </w:rPr>
              <w:t>thiamine</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BA95B55" w14:textId="77777777" w:rsidR="00763624" w:rsidRPr="00763624" w:rsidRDefault="00763624" w:rsidP="00763624">
            <w:pPr>
              <w:snapToGrid w:val="0"/>
              <w:spacing w:after="0" w:line="160" w:lineRule="atLeast"/>
            </w:pPr>
            <w:r w:rsidRPr="00763624">
              <w:t>parenteral</w:t>
            </w:r>
          </w:p>
        </w:tc>
      </w:tr>
      <w:tr w:rsidR="00763624" w:rsidRPr="00763624" w14:paraId="6DA2DFD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2A34F41" w14:textId="77777777" w:rsidR="00763624" w:rsidRPr="00763624" w:rsidRDefault="00763624" w:rsidP="00763624">
            <w:pPr>
              <w:snapToGrid w:val="0"/>
              <w:spacing w:after="0" w:line="160" w:lineRule="atLeast"/>
            </w:pPr>
            <w:r w:rsidRPr="00763624">
              <w:rPr>
                <w:b/>
                <w:bCs/>
              </w:rPr>
              <w:t>tigecycline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E24321A" w14:textId="77777777" w:rsidR="00763624" w:rsidRPr="00763624" w:rsidRDefault="00763624" w:rsidP="00763624">
            <w:pPr>
              <w:snapToGrid w:val="0"/>
              <w:spacing w:after="0" w:line="160" w:lineRule="atLeast"/>
            </w:pPr>
            <w:r w:rsidRPr="00763624">
              <w:t>parenteral</w:t>
            </w:r>
          </w:p>
        </w:tc>
      </w:tr>
      <w:tr w:rsidR="00763624" w:rsidRPr="00763624" w14:paraId="5438587A"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C72377D" w14:textId="77777777" w:rsidR="00763624" w:rsidRPr="00763624" w:rsidRDefault="00763624" w:rsidP="00763624">
            <w:pPr>
              <w:snapToGrid w:val="0"/>
              <w:spacing w:after="0" w:line="160" w:lineRule="atLeast"/>
            </w:pPr>
            <w:proofErr w:type="spellStart"/>
            <w:r w:rsidRPr="00763624">
              <w:rPr>
                <w:b/>
                <w:bCs/>
              </w:rPr>
              <w:lastRenderedPageBreak/>
              <w:t>tisagenlecleucel</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4C77DF7" w14:textId="77777777" w:rsidR="00763624" w:rsidRPr="00763624" w:rsidRDefault="00763624" w:rsidP="00763624">
            <w:pPr>
              <w:snapToGrid w:val="0"/>
              <w:spacing w:after="0" w:line="160" w:lineRule="atLeast"/>
            </w:pPr>
            <w:r w:rsidRPr="00763624">
              <w:t>parenteral</w:t>
            </w:r>
          </w:p>
        </w:tc>
      </w:tr>
      <w:tr w:rsidR="00763624" w:rsidRPr="00763624" w14:paraId="08FD8CEB"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0A721CE" w14:textId="77777777" w:rsidR="00763624" w:rsidRPr="00763624" w:rsidRDefault="00763624" w:rsidP="00763624">
            <w:pPr>
              <w:snapToGrid w:val="0"/>
              <w:spacing w:after="0" w:line="160" w:lineRule="atLeast"/>
            </w:pPr>
            <w:r w:rsidRPr="00763624">
              <w:rPr>
                <w:b/>
                <w:bCs/>
              </w:rPr>
              <w:t>trastuzumab</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6C89B5F" w14:textId="77777777" w:rsidR="00763624" w:rsidRPr="00763624" w:rsidRDefault="00763624" w:rsidP="00763624">
            <w:pPr>
              <w:snapToGrid w:val="0"/>
              <w:spacing w:after="0" w:line="160" w:lineRule="atLeast"/>
            </w:pPr>
            <w:r w:rsidRPr="00763624">
              <w:t>parenteral</w:t>
            </w:r>
          </w:p>
        </w:tc>
      </w:tr>
      <w:tr w:rsidR="00763624" w:rsidRPr="00763624" w14:paraId="77285B4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213BB2A" w14:textId="77777777" w:rsidR="00763624" w:rsidRPr="00763624" w:rsidRDefault="00763624" w:rsidP="00763624">
            <w:pPr>
              <w:snapToGrid w:val="0"/>
              <w:spacing w:after="0" w:line="160" w:lineRule="atLeast"/>
            </w:pPr>
            <w:r w:rsidRPr="00763624">
              <w:rPr>
                <w:b/>
                <w:bCs/>
              </w:rPr>
              <w:t xml:space="preserve">trastuzumab </w:t>
            </w:r>
            <w:proofErr w:type="spellStart"/>
            <w:r w:rsidRPr="00763624">
              <w:rPr>
                <w:b/>
                <w:bCs/>
              </w:rPr>
              <w:t>deruxtecan</w:t>
            </w:r>
            <w:proofErr w:type="spellEnd"/>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9FFD8AE" w14:textId="77777777" w:rsidR="00763624" w:rsidRPr="00763624" w:rsidRDefault="00763624" w:rsidP="00763624">
            <w:pPr>
              <w:snapToGrid w:val="0"/>
              <w:spacing w:after="0" w:line="160" w:lineRule="atLeast"/>
            </w:pPr>
            <w:r w:rsidRPr="00763624">
              <w:t>parenteral</w:t>
            </w:r>
          </w:p>
        </w:tc>
      </w:tr>
      <w:tr w:rsidR="00763624" w:rsidRPr="00763624" w14:paraId="30537EC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243DD35" w14:textId="77777777" w:rsidR="00763624" w:rsidRPr="00763624" w:rsidRDefault="00763624" w:rsidP="00763624">
            <w:pPr>
              <w:snapToGrid w:val="0"/>
              <w:spacing w:after="0" w:line="160" w:lineRule="atLeast"/>
            </w:pPr>
            <w:r w:rsidRPr="00763624">
              <w:rPr>
                <w:b/>
                <w:bCs/>
              </w:rPr>
              <w:t>trastuzumab emtansine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08A2FAA" w14:textId="77777777" w:rsidR="00763624" w:rsidRPr="00763624" w:rsidRDefault="00763624" w:rsidP="00763624">
            <w:pPr>
              <w:snapToGrid w:val="0"/>
              <w:spacing w:after="0" w:line="160" w:lineRule="atLeast"/>
            </w:pPr>
            <w:r w:rsidRPr="00763624">
              <w:t>parenteral</w:t>
            </w:r>
          </w:p>
        </w:tc>
      </w:tr>
      <w:tr w:rsidR="00763624" w:rsidRPr="00763624" w14:paraId="5559F615"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E34437C" w14:textId="77777777" w:rsidR="00763624" w:rsidRPr="00763624" w:rsidRDefault="00763624" w:rsidP="00763624">
            <w:pPr>
              <w:snapToGrid w:val="0"/>
              <w:spacing w:after="0" w:line="160" w:lineRule="atLeast"/>
            </w:pPr>
            <w:r w:rsidRPr="00763624">
              <w:rPr>
                <w:b/>
                <w:bCs/>
              </w:rPr>
              <w:t>typhoid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60DAAB1" w14:textId="77777777" w:rsidR="00763624" w:rsidRPr="00763624" w:rsidRDefault="00763624" w:rsidP="00763624">
            <w:pPr>
              <w:snapToGrid w:val="0"/>
              <w:spacing w:after="0" w:line="160" w:lineRule="atLeast"/>
            </w:pPr>
            <w:r w:rsidRPr="00763624">
              <w:t>oral, parenteral</w:t>
            </w:r>
          </w:p>
        </w:tc>
      </w:tr>
      <w:tr w:rsidR="00763624" w:rsidRPr="00763624" w14:paraId="2BFFCF27"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7425CCA" w14:textId="77777777" w:rsidR="00763624" w:rsidRPr="00763624" w:rsidRDefault="00763624" w:rsidP="00763624">
            <w:pPr>
              <w:snapToGrid w:val="0"/>
              <w:spacing w:after="0" w:line="160" w:lineRule="atLeast"/>
            </w:pPr>
            <w:r w:rsidRPr="00763624">
              <w:rPr>
                <w:b/>
                <w:bCs/>
              </w:rPr>
              <w:t>valganciclovir</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7EEB76E" w14:textId="77777777" w:rsidR="00763624" w:rsidRPr="00763624" w:rsidRDefault="00763624" w:rsidP="00763624">
            <w:pPr>
              <w:snapToGrid w:val="0"/>
              <w:spacing w:after="0" w:line="160" w:lineRule="atLeast"/>
            </w:pPr>
            <w:r w:rsidRPr="00763624">
              <w:t>oral</w:t>
            </w:r>
          </w:p>
        </w:tc>
      </w:tr>
      <w:tr w:rsidR="00763624" w:rsidRPr="00763624" w14:paraId="79B49324"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FBADCFE" w14:textId="77777777" w:rsidR="00763624" w:rsidRPr="00763624" w:rsidRDefault="00763624" w:rsidP="00763624">
            <w:pPr>
              <w:snapToGrid w:val="0"/>
              <w:spacing w:after="0" w:line="160" w:lineRule="atLeast"/>
            </w:pPr>
            <w:r w:rsidRPr="00763624">
              <w:rPr>
                <w:b/>
                <w:bCs/>
              </w:rPr>
              <w:t>vancomycin</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EBCBD3D" w14:textId="77777777" w:rsidR="00763624" w:rsidRPr="00763624" w:rsidRDefault="00763624" w:rsidP="00763624">
            <w:pPr>
              <w:snapToGrid w:val="0"/>
              <w:spacing w:after="0" w:line="160" w:lineRule="atLeast"/>
            </w:pPr>
            <w:r w:rsidRPr="00763624">
              <w:t>oral, parenteral</w:t>
            </w:r>
          </w:p>
        </w:tc>
      </w:tr>
      <w:tr w:rsidR="00763624" w:rsidRPr="00763624" w14:paraId="143058BE"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F7DBEF2" w14:textId="77777777" w:rsidR="00763624" w:rsidRPr="00763624" w:rsidRDefault="00763624" w:rsidP="00763624">
            <w:pPr>
              <w:snapToGrid w:val="0"/>
              <w:spacing w:after="0" w:line="160" w:lineRule="atLeast"/>
            </w:pPr>
            <w:r w:rsidRPr="00763624">
              <w:rPr>
                <w:b/>
                <w:bCs/>
              </w:rPr>
              <w:t>varicella zoster immunoglobulin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6130EED" w14:textId="77777777" w:rsidR="00763624" w:rsidRPr="00763624" w:rsidRDefault="00763624" w:rsidP="00763624">
            <w:pPr>
              <w:snapToGrid w:val="0"/>
              <w:spacing w:after="0" w:line="160" w:lineRule="atLeast"/>
            </w:pPr>
            <w:r w:rsidRPr="00763624">
              <w:t>parenteral</w:t>
            </w:r>
          </w:p>
        </w:tc>
      </w:tr>
      <w:tr w:rsidR="00763624" w:rsidRPr="00763624" w14:paraId="374D45AF"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DC91ECF" w14:textId="77777777" w:rsidR="00763624" w:rsidRPr="00763624" w:rsidRDefault="00763624" w:rsidP="00763624">
            <w:pPr>
              <w:snapToGrid w:val="0"/>
              <w:spacing w:after="0" w:line="160" w:lineRule="atLeast"/>
            </w:pPr>
            <w:r w:rsidRPr="00763624">
              <w:rPr>
                <w:b/>
                <w:bCs/>
              </w:rPr>
              <w:t>varicella zoster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7AF9E00" w14:textId="77777777" w:rsidR="00763624" w:rsidRPr="00763624" w:rsidRDefault="00763624" w:rsidP="00763624">
            <w:pPr>
              <w:snapToGrid w:val="0"/>
              <w:spacing w:after="0" w:line="160" w:lineRule="atLeast"/>
            </w:pPr>
            <w:r w:rsidRPr="00763624">
              <w:t>parenteral</w:t>
            </w:r>
          </w:p>
        </w:tc>
      </w:tr>
      <w:tr w:rsidR="00763624" w:rsidRPr="00763624" w14:paraId="7804E29D"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A7722B1" w14:textId="77777777" w:rsidR="00763624" w:rsidRPr="00763624" w:rsidRDefault="00763624" w:rsidP="00763624">
            <w:pPr>
              <w:snapToGrid w:val="0"/>
              <w:spacing w:after="0" w:line="160" w:lineRule="atLeast"/>
            </w:pPr>
            <w:r w:rsidRPr="00763624">
              <w:rPr>
                <w:b/>
                <w:bCs/>
              </w:rPr>
              <w:t>vasopressin</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77AAB28" w14:textId="77777777" w:rsidR="00763624" w:rsidRPr="00763624" w:rsidRDefault="00763624" w:rsidP="00763624">
            <w:pPr>
              <w:snapToGrid w:val="0"/>
              <w:spacing w:after="0" w:line="160" w:lineRule="atLeast"/>
            </w:pPr>
            <w:r w:rsidRPr="00763624">
              <w:t>parenteral</w:t>
            </w:r>
          </w:p>
        </w:tc>
      </w:tr>
      <w:tr w:rsidR="00763624" w:rsidRPr="00763624" w14:paraId="5545603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6E768D01" w14:textId="77777777" w:rsidR="00763624" w:rsidRPr="00763624" w:rsidRDefault="00763624" w:rsidP="00763624">
            <w:pPr>
              <w:snapToGrid w:val="0"/>
              <w:spacing w:after="0" w:line="160" w:lineRule="atLeast"/>
            </w:pPr>
            <w:r w:rsidRPr="00763624">
              <w:rPr>
                <w:b/>
                <w:bCs/>
              </w:rPr>
              <w:t>vitamin K1</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50C55D3" w14:textId="77777777" w:rsidR="00763624" w:rsidRPr="00763624" w:rsidRDefault="00763624" w:rsidP="00763624">
            <w:pPr>
              <w:snapToGrid w:val="0"/>
              <w:spacing w:after="0" w:line="160" w:lineRule="atLeast"/>
            </w:pPr>
            <w:r w:rsidRPr="00763624">
              <w:t>parenteral</w:t>
            </w:r>
          </w:p>
        </w:tc>
      </w:tr>
      <w:tr w:rsidR="00763624" w:rsidRPr="00763624" w14:paraId="02209D50"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189BCCE" w14:textId="77777777" w:rsidR="00763624" w:rsidRPr="00763624" w:rsidRDefault="00763624" w:rsidP="00763624">
            <w:pPr>
              <w:snapToGrid w:val="0"/>
              <w:spacing w:after="0" w:line="160" w:lineRule="atLeast"/>
            </w:pPr>
            <w:r w:rsidRPr="00763624">
              <w:rPr>
                <w:b/>
                <w:bCs/>
              </w:rPr>
              <w:t>voriconazole</w:t>
            </w:r>
          </w:p>
        </w:tc>
        <w:tc>
          <w:tcPr>
            <w:tcW w:w="106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C1D10F6" w14:textId="77777777" w:rsidR="00763624" w:rsidRPr="00763624" w:rsidRDefault="00763624" w:rsidP="00763624">
            <w:pPr>
              <w:snapToGrid w:val="0"/>
              <w:spacing w:after="0" w:line="160" w:lineRule="atLeast"/>
            </w:pPr>
            <w:r w:rsidRPr="00763624">
              <w:t>parenteral</w:t>
            </w:r>
          </w:p>
        </w:tc>
      </w:tr>
      <w:tr w:rsidR="00763624" w:rsidRPr="00763624" w14:paraId="609D9E3C" w14:textId="77777777" w:rsidTr="00763624">
        <w:tc>
          <w:tcPr>
            <w:tcW w:w="393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83FC7ED" w14:textId="77777777" w:rsidR="00763624" w:rsidRPr="00763624" w:rsidRDefault="00763624" w:rsidP="00763624">
            <w:pPr>
              <w:snapToGrid w:val="0"/>
              <w:spacing w:after="0" w:line="160" w:lineRule="atLeast"/>
            </w:pPr>
            <w:r w:rsidRPr="00763624">
              <w:rPr>
                <w:b/>
                <w:bCs/>
              </w:rPr>
              <w:t>yellow fever vaccines</w:t>
            </w:r>
          </w:p>
        </w:tc>
        <w:tc>
          <w:tcPr>
            <w:tcW w:w="106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1E59BFB" w14:textId="77777777" w:rsidR="00763624" w:rsidRPr="00763624" w:rsidRDefault="00763624" w:rsidP="00763624">
            <w:pPr>
              <w:snapToGrid w:val="0"/>
              <w:spacing w:after="0" w:line="160" w:lineRule="atLeast"/>
            </w:pPr>
            <w:r w:rsidRPr="00763624">
              <w:t>parenteral</w:t>
            </w:r>
          </w:p>
        </w:tc>
      </w:tr>
    </w:tbl>
    <w:p w14:paraId="19CC4A87" w14:textId="77777777" w:rsidR="00763624" w:rsidRPr="00763624" w:rsidRDefault="00763624" w:rsidP="00763624">
      <w:pPr>
        <w:rPr>
          <w:b/>
          <w:bCs/>
        </w:rPr>
      </w:pPr>
      <w:r w:rsidRPr="00763624">
        <w:rPr>
          <w:b/>
          <w:bCs/>
        </w:rPr>
        <w:t>Page details</w:t>
      </w:r>
    </w:p>
    <w:p w14:paraId="17A320D8" w14:textId="7B80B714" w:rsidR="00DD3A65" w:rsidRPr="00763624" w:rsidRDefault="00DD3A65" w:rsidP="00763624"/>
    <w:sectPr w:rsidR="00DD3A65" w:rsidRPr="00763624" w:rsidSect="00F422A4">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96C01" w14:textId="77777777" w:rsidR="004454C5" w:rsidRDefault="004454C5" w:rsidP="00763624">
      <w:pPr>
        <w:spacing w:after="0" w:line="240" w:lineRule="auto"/>
      </w:pPr>
      <w:r>
        <w:separator/>
      </w:r>
    </w:p>
  </w:endnote>
  <w:endnote w:type="continuationSeparator" w:id="0">
    <w:p w14:paraId="486170C8" w14:textId="77777777" w:rsidR="004454C5" w:rsidRDefault="004454C5" w:rsidP="0076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78F3" w14:textId="77777777" w:rsidR="004454C5" w:rsidRDefault="004454C5" w:rsidP="00763624">
      <w:pPr>
        <w:spacing w:after="0" w:line="240" w:lineRule="auto"/>
      </w:pPr>
      <w:r>
        <w:separator/>
      </w:r>
    </w:p>
  </w:footnote>
  <w:footnote w:type="continuationSeparator" w:id="0">
    <w:p w14:paraId="404FAE8C" w14:textId="77777777" w:rsidR="004454C5" w:rsidRDefault="004454C5" w:rsidP="00763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E0E"/>
    <w:multiLevelType w:val="hybridMultilevel"/>
    <w:tmpl w:val="1BC815B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 w15:restartNumberingAfterBreak="0">
    <w:nsid w:val="0980163B"/>
    <w:multiLevelType w:val="multilevel"/>
    <w:tmpl w:val="0D76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51EFB"/>
    <w:multiLevelType w:val="multilevel"/>
    <w:tmpl w:val="67B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23CB0"/>
    <w:multiLevelType w:val="multilevel"/>
    <w:tmpl w:val="D61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F6616"/>
    <w:multiLevelType w:val="multilevel"/>
    <w:tmpl w:val="4ED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B6297"/>
    <w:multiLevelType w:val="hybridMultilevel"/>
    <w:tmpl w:val="EA36BB68"/>
    <w:lvl w:ilvl="0" w:tplc="9B3CE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E924361"/>
    <w:multiLevelType w:val="multilevel"/>
    <w:tmpl w:val="48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66F64"/>
    <w:multiLevelType w:val="multilevel"/>
    <w:tmpl w:val="54DE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303C2"/>
    <w:multiLevelType w:val="multilevel"/>
    <w:tmpl w:val="CD3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57CFC"/>
    <w:multiLevelType w:val="multilevel"/>
    <w:tmpl w:val="215A0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5C5B"/>
    <w:multiLevelType w:val="multilevel"/>
    <w:tmpl w:val="99886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A7BB6"/>
    <w:multiLevelType w:val="hybridMultilevel"/>
    <w:tmpl w:val="DF0EC00E"/>
    <w:lvl w:ilvl="0" w:tplc="708661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F435B9"/>
    <w:multiLevelType w:val="multilevel"/>
    <w:tmpl w:val="87A0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23D11"/>
    <w:multiLevelType w:val="multilevel"/>
    <w:tmpl w:val="FDE0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32990"/>
    <w:multiLevelType w:val="hybridMultilevel"/>
    <w:tmpl w:val="6B2272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71F5592"/>
    <w:multiLevelType w:val="multilevel"/>
    <w:tmpl w:val="080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D16D4"/>
    <w:multiLevelType w:val="multilevel"/>
    <w:tmpl w:val="0B82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9575C"/>
    <w:multiLevelType w:val="multilevel"/>
    <w:tmpl w:val="742E9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15F44"/>
    <w:multiLevelType w:val="multilevel"/>
    <w:tmpl w:val="0D4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A736B"/>
    <w:multiLevelType w:val="multilevel"/>
    <w:tmpl w:val="6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E1F58"/>
    <w:multiLevelType w:val="multilevel"/>
    <w:tmpl w:val="3FFA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A7D29"/>
    <w:multiLevelType w:val="multilevel"/>
    <w:tmpl w:val="E040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057969">
    <w:abstractNumId w:val="20"/>
  </w:num>
  <w:num w:numId="2" w16cid:durableId="1175924032">
    <w:abstractNumId w:val="3"/>
  </w:num>
  <w:num w:numId="3" w16cid:durableId="789007337">
    <w:abstractNumId w:val="6"/>
  </w:num>
  <w:num w:numId="4" w16cid:durableId="72513560">
    <w:abstractNumId w:val="15"/>
  </w:num>
  <w:num w:numId="5" w16cid:durableId="679309798">
    <w:abstractNumId w:val="19"/>
  </w:num>
  <w:num w:numId="6" w16cid:durableId="1059524044">
    <w:abstractNumId w:val="0"/>
  </w:num>
  <w:num w:numId="7" w16cid:durableId="57559155">
    <w:abstractNumId w:val="5"/>
  </w:num>
  <w:num w:numId="8" w16cid:durableId="2120644123">
    <w:abstractNumId w:val="11"/>
  </w:num>
  <w:num w:numId="9" w16cid:durableId="1014068539">
    <w:abstractNumId w:val="4"/>
  </w:num>
  <w:num w:numId="10" w16cid:durableId="830217509">
    <w:abstractNumId w:val="9"/>
  </w:num>
  <w:num w:numId="11" w16cid:durableId="1434126735">
    <w:abstractNumId w:val="10"/>
  </w:num>
  <w:num w:numId="12" w16cid:durableId="51781731">
    <w:abstractNumId w:val="17"/>
  </w:num>
  <w:num w:numId="13" w16cid:durableId="829295698">
    <w:abstractNumId w:val="7"/>
  </w:num>
  <w:num w:numId="14" w16cid:durableId="2133669229">
    <w:abstractNumId w:val="13"/>
  </w:num>
  <w:num w:numId="15" w16cid:durableId="137967139">
    <w:abstractNumId w:val="8"/>
  </w:num>
  <w:num w:numId="16" w16cid:durableId="1172766975">
    <w:abstractNumId w:val="14"/>
  </w:num>
  <w:num w:numId="17" w16cid:durableId="1657881437">
    <w:abstractNumId w:val="12"/>
  </w:num>
  <w:num w:numId="18" w16cid:durableId="101262580">
    <w:abstractNumId w:val="21"/>
  </w:num>
  <w:num w:numId="19" w16cid:durableId="1792477241">
    <w:abstractNumId w:val="16"/>
  </w:num>
  <w:num w:numId="20" w16cid:durableId="1193151651">
    <w:abstractNumId w:val="2"/>
  </w:num>
  <w:num w:numId="21" w16cid:durableId="1228685285">
    <w:abstractNumId w:val="1"/>
  </w:num>
  <w:num w:numId="22" w16cid:durableId="978536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4"/>
    <w:rsid w:val="000B5127"/>
    <w:rsid w:val="00304F66"/>
    <w:rsid w:val="004454C5"/>
    <w:rsid w:val="005D28FD"/>
    <w:rsid w:val="006B1081"/>
    <w:rsid w:val="00763624"/>
    <w:rsid w:val="009268C1"/>
    <w:rsid w:val="00992C68"/>
    <w:rsid w:val="009E578E"/>
    <w:rsid w:val="00B9507F"/>
    <w:rsid w:val="00C93B13"/>
    <w:rsid w:val="00CC0C1B"/>
    <w:rsid w:val="00DD3A65"/>
    <w:rsid w:val="00E75D29"/>
    <w:rsid w:val="00F422A4"/>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B7D9E"/>
  <w15:chartTrackingRefBased/>
  <w15:docId w15:val="{0E54C275-9827-4D85-B511-B53B8A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A4"/>
    <w:pPr>
      <w:widowControl w:val="0"/>
    </w:pPr>
    <w:rPr>
      <w:rFonts w:ascii="Times New Roman" w:eastAsia="ＭＳ Ｐ明朝" w:hAnsi="Times New Roman"/>
      <w:sz w:val="21"/>
    </w:rPr>
  </w:style>
  <w:style w:type="paragraph" w:styleId="1">
    <w:name w:val="heading 1"/>
    <w:basedOn w:val="a"/>
    <w:next w:val="a"/>
    <w:link w:val="10"/>
    <w:uiPriority w:val="9"/>
    <w:qFormat/>
    <w:rsid w:val="00F422A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6362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2A4"/>
    <w:rPr>
      <w:rFonts w:asciiTheme="majorHAnsi" w:eastAsiaTheme="majorEastAsia" w:hAnsiTheme="majorHAnsi" w:cstheme="majorBidi"/>
      <w:sz w:val="24"/>
    </w:rPr>
  </w:style>
  <w:style w:type="character" w:styleId="a3">
    <w:name w:val="Hyperlink"/>
    <w:basedOn w:val="a0"/>
    <w:uiPriority w:val="99"/>
    <w:unhideWhenUsed/>
    <w:rsid w:val="00F422A4"/>
    <w:rPr>
      <w:color w:val="467886" w:themeColor="hyperlink"/>
      <w:u w:val="single"/>
    </w:rPr>
  </w:style>
  <w:style w:type="character" w:styleId="a4">
    <w:name w:val="Unresolved Mention"/>
    <w:basedOn w:val="a0"/>
    <w:uiPriority w:val="99"/>
    <w:semiHidden/>
    <w:unhideWhenUsed/>
    <w:rsid w:val="00F422A4"/>
    <w:rPr>
      <w:color w:val="605E5C"/>
      <w:shd w:val="clear" w:color="auto" w:fill="E1DFDD"/>
    </w:rPr>
  </w:style>
  <w:style w:type="paragraph" w:styleId="a5">
    <w:name w:val="List Paragraph"/>
    <w:basedOn w:val="a"/>
    <w:uiPriority w:val="34"/>
    <w:qFormat/>
    <w:rsid w:val="00B9507F"/>
    <w:pPr>
      <w:ind w:leftChars="400" w:left="840"/>
    </w:pPr>
  </w:style>
  <w:style w:type="character" w:styleId="a6">
    <w:name w:val="FollowedHyperlink"/>
    <w:basedOn w:val="a0"/>
    <w:uiPriority w:val="99"/>
    <w:semiHidden/>
    <w:unhideWhenUsed/>
    <w:rsid w:val="00DD3A65"/>
    <w:rPr>
      <w:color w:val="96607D" w:themeColor="followedHyperlink"/>
      <w:u w:val="single"/>
    </w:rPr>
  </w:style>
  <w:style w:type="paragraph" w:styleId="a7">
    <w:name w:val="header"/>
    <w:basedOn w:val="a"/>
    <w:link w:val="a8"/>
    <w:uiPriority w:val="99"/>
    <w:unhideWhenUsed/>
    <w:rsid w:val="00763624"/>
    <w:pPr>
      <w:tabs>
        <w:tab w:val="center" w:pos="4252"/>
        <w:tab w:val="right" w:pos="8504"/>
      </w:tabs>
      <w:snapToGrid w:val="0"/>
    </w:pPr>
  </w:style>
  <w:style w:type="character" w:customStyle="1" w:styleId="a8">
    <w:name w:val="ヘッダー (文字)"/>
    <w:basedOn w:val="a0"/>
    <w:link w:val="a7"/>
    <w:uiPriority w:val="99"/>
    <w:rsid w:val="00763624"/>
    <w:rPr>
      <w:rFonts w:ascii="Times New Roman" w:eastAsia="ＭＳ Ｐ明朝" w:hAnsi="Times New Roman"/>
      <w:sz w:val="21"/>
    </w:rPr>
  </w:style>
  <w:style w:type="paragraph" w:styleId="a9">
    <w:name w:val="footer"/>
    <w:basedOn w:val="a"/>
    <w:link w:val="aa"/>
    <w:uiPriority w:val="99"/>
    <w:unhideWhenUsed/>
    <w:rsid w:val="00763624"/>
    <w:pPr>
      <w:tabs>
        <w:tab w:val="center" w:pos="4252"/>
        <w:tab w:val="right" w:pos="8504"/>
      </w:tabs>
      <w:snapToGrid w:val="0"/>
    </w:pPr>
  </w:style>
  <w:style w:type="character" w:customStyle="1" w:styleId="aa">
    <w:name w:val="フッター (文字)"/>
    <w:basedOn w:val="a0"/>
    <w:link w:val="a9"/>
    <w:uiPriority w:val="99"/>
    <w:rsid w:val="00763624"/>
    <w:rPr>
      <w:rFonts w:ascii="Times New Roman" w:eastAsia="ＭＳ Ｐ明朝" w:hAnsi="Times New Roman"/>
      <w:sz w:val="21"/>
    </w:rPr>
  </w:style>
  <w:style w:type="character" w:customStyle="1" w:styleId="20">
    <w:name w:val="見出し 2 (文字)"/>
    <w:basedOn w:val="a0"/>
    <w:link w:val="2"/>
    <w:uiPriority w:val="9"/>
    <w:semiHidden/>
    <w:rsid w:val="00763624"/>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4072">
      <w:bodyDiv w:val="1"/>
      <w:marLeft w:val="0"/>
      <w:marRight w:val="0"/>
      <w:marTop w:val="0"/>
      <w:marBottom w:val="0"/>
      <w:divBdr>
        <w:top w:val="none" w:sz="0" w:space="0" w:color="auto"/>
        <w:left w:val="none" w:sz="0" w:space="0" w:color="auto"/>
        <w:bottom w:val="none" w:sz="0" w:space="0" w:color="auto"/>
        <w:right w:val="none" w:sz="0" w:space="0" w:color="auto"/>
      </w:divBdr>
    </w:div>
    <w:div w:id="387461362">
      <w:bodyDiv w:val="1"/>
      <w:marLeft w:val="0"/>
      <w:marRight w:val="0"/>
      <w:marTop w:val="0"/>
      <w:marBottom w:val="0"/>
      <w:divBdr>
        <w:top w:val="none" w:sz="0" w:space="0" w:color="auto"/>
        <w:left w:val="none" w:sz="0" w:space="0" w:color="auto"/>
        <w:bottom w:val="none" w:sz="0" w:space="0" w:color="auto"/>
        <w:right w:val="none" w:sz="0" w:space="0" w:color="auto"/>
      </w:divBdr>
      <w:divsChild>
        <w:div w:id="1183785590">
          <w:marLeft w:val="0"/>
          <w:marRight w:val="0"/>
          <w:marTop w:val="0"/>
          <w:marBottom w:val="0"/>
          <w:divBdr>
            <w:top w:val="none" w:sz="0" w:space="0" w:color="auto"/>
            <w:left w:val="none" w:sz="0" w:space="0" w:color="auto"/>
            <w:bottom w:val="none" w:sz="0" w:space="0" w:color="auto"/>
            <w:right w:val="none" w:sz="0" w:space="0" w:color="auto"/>
          </w:divBdr>
        </w:div>
      </w:divsChild>
    </w:div>
    <w:div w:id="527177819">
      <w:bodyDiv w:val="1"/>
      <w:marLeft w:val="0"/>
      <w:marRight w:val="0"/>
      <w:marTop w:val="0"/>
      <w:marBottom w:val="0"/>
      <w:divBdr>
        <w:top w:val="none" w:sz="0" w:space="0" w:color="auto"/>
        <w:left w:val="none" w:sz="0" w:space="0" w:color="auto"/>
        <w:bottom w:val="none" w:sz="0" w:space="0" w:color="auto"/>
        <w:right w:val="none" w:sz="0" w:space="0" w:color="auto"/>
      </w:divBdr>
    </w:div>
    <w:div w:id="580604678">
      <w:bodyDiv w:val="1"/>
      <w:marLeft w:val="0"/>
      <w:marRight w:val="0"/>
      <w:marTop w:val="0"/>
      <w:marBottom w:val="0"/>
      <w:divBdr>
        <w:top w:val="none" w:sz="0" w:space="0" w:color="auto"/>
        <w:left w:val="none" w:sz="0" w:space="0" w:color="auto"/>
        <w:bottom w:val="none" w:sz="0" w:space="0" w:color="auto"/>
        <w:right w:val="none" w:sz="0" w:space="0" w:color="auto"/>
      </w:divBdr>
    </w:div>
    <w:div w:id="590506064">
      <w:bodyDiv w:val="1"/>
      <w:marLeft w:val="0"/>
      <w:marRight w:val="0"/>
      <w:marTop w:val="0"/>
      <w:marBottom w:val="0"/>
      <w:divBdr>
        <w:top w:val="none" w:sz="0" w:space="0" w:color="auto"/>
        <w:left w:val="none" w:sz="0" w:space="0" w:color="auto"/>
        <w:bottom w:val="none" w:sz="0" w:space="0" w:color="auto"/>
        <w:right w:val="none" w:sz="0" w:space="0" w:color="auto"/>
      </w:divBdr>
    </w:div>
    <w:div w:id="635070528">
      <w:bodyDiv w:val="1"/>
      <w:marLeft w:val="0"/>
      <w:marRight w:val="0"/>
      <w:marTop w:val="0"/>
      <w:marBottom w:val="0"/>
      <w:divBdr>
        <w:top w:val="none" w:sz="0" w:space="0" w:color="auto"/>
        <w:left w:val="none" w:sz="0" w:space="0" w:color="auto"/>
        <w:bottom w:val="none" w:sz="0" w:space="0" w:color="auto"/>
        <w:right w:val="none" w:sz="0" w:space="0" w:color="auto"/>
      </w:divBdr>
    </w:div>
    <w:div w:id="679968713">
      <w:bodyDiv w:val="1"/>
      <w:marLeft w:val="0"/>
      <w:marRight w:val="0"/>
      <w:marTop w:val="0"/>
      <w:marBottom w:val="0"/>
      <w:divBdr>
        <w:top w:val="none" w:sz="0" w:space="0" w:color="auto"/>
        <w:left w:val="none" w:sz="0" w:space="0" w:color="auto"/>
        <w:bottom w:val="none" w:sz="0" w:space="0" w:color="auto"/>
        <w:right w:val="none" w:sz="0" w:space="0" w:color="auto"/>
      </w:divBdr>
    </w:div>
    <w:div w:id="920529900">
      <w:bodyDiv w:val="1"/>
      <w:marLeft w:val="0"/>
      <w:marRight w:val="0"/>
      <w:marTop w:val="0"/>
      <w:marBottom w:val="0"/>
      <w:divBdr>
        <w:top w:val="none" w:sz="0" w:space="0" w:color="auto"/>
        <w:left w:val="none" w:sz="0" w:space="0" w:color="auto"/>
        <w:bottom w:val="none" w:sz="0" w:space="0" w:color="auto"/>
        <w:right w:val="none" w:sz="0" w:space="0" w:color="auto"/>
      </w:divBdr>
      <w:divsChild>
        <w:div w:id="2018070114">
          <w:marLeft w:val="0"/>
          <w:marRight w:val="0"/>
          <w:marTop w:val="0"/>
          <w:marBottom w:val="0"/>
          <w:divBdr>
            <w:top w:val="none" w:sz="0" w:space="0" w:color="auto"/>
            <w:left w:val="none" w:sz="0" w:space="0" w:color="auto"/>
            <w:bottom w:val="none" w:sz="0" w:space="0" w:color="auto"/>
            <w:right w:val="none" w:sz="0" w:space="0" w:color="auto"/>
          </w:divBdr>
          <w:divsChild>
            <w:div w:id="13926504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103665974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17">
          <w:marLeft w:val="0"/>
          <w:marRight w:val="0"/>
          <w:marTop w:val="0"/>
          <w:marBottom w:val="0"/>
          <w:divBdr>
            <w:top w:val="none" w:sz="0" w:space="0" w:color="auto"/>
            <w:left w:val="none" w:sz="0" w:space="0" w:color="auto"/>
            <w:bottom w:val="none" w:sz="0" w:space="0" w:color="auto"/>
            <w:right w:val="none" w:sz="0" w:space="0" w:color="auto"/>
          </w:divBdr>
          <w:divsChild>
            <w:div w:id="1562403135">
              <w:marLeft w:val="0"/>
              <w:marRight w:val="0"/>
              <w:marTop w:val="0"/>
              <w:marBottom w:val="300"/>
              <w:divBdr>
                <w:top w:val="single" w:sz="6" w:space="14" w:color="E3E3E3"/>
                <w:left w:val="single" w:sz="6" w:space="14" w:color="E3E3E3"/>
                <w:bottom w:val="single" w:sz="6" w:space="14" w:color="E3E3E3"/>
                <w:right w:val="single" w:sz="6" w:space="14" w:color="E3E3E3"/>
              </w:divBdr>
            </w:div>
            <w:div w:id="1320420521">
              <w:marLeft w:val="0"/>
              <w:marRight w:val="0"/>
              <w:marTop w:val="0"/>
              <w:marBottom w:val="0"/>
              <w:divBdr>
                <w:top w:val="none" w:sz="0" w:space="0" w:color="auto"/>
                <w:left w:val="none" w:sz="0" w:space="0" w:color="auto"/>
                <w:bottom w:val="none" w:sz="0" w:space="0" w:color="auto"/>
                <w:right w:val="none" w:sz="0" w:space="0" w:color="auto"/>
              </w:divBdr>
            </w:div>
          </w:divsChild>
        </w:div>
        <w:div w:id="1671449266">
          <w:marLeft w:val="0"/>
          <w:marRight w:val="0"/>
          <w:marTop w:val="0"/>
          <w:marBottom w:val="0"/>
          <w:divBdr>
            <w:top w:val="none" w:sz="0" w:space="0" w:color="auto"/>
            <w:left w:val="none" w:sz="0" w:space="0" w:color="auto"/>
            <w:bottom w:val="none" w:sz="0" w:space="0" w:color="auto"/>
            <w:right w:val="none" w:sz="0" w:space="0" w:color="auto"/>
          </w:divBdr>
          <w:divsChild>
            <w:div w:id="768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1416">
      <w:bodyDiv w:val="1"/>
      <w:marLeft w:val="0"/>
      <w:marRight w:val="0"/>
      <w:marTop w:val="0"/>
      <w:marBottom w:val="0"/>
      <w:divBdr>
        <w:top w:val="none" w:sz="0" w:space="0" w:color="auto"/>
        <w:left w:val="none" w:sz="0" w:space="0" w:color="auto"/>
        <w:bottom w:val="none" w:sz="0" w:space="0" w:color="auto"/>
        <w:right w:val="none" w:sz="0" w:space="0" w:color="auto"/>
      </w:divBdr>
      <w:divsChild>
        <w:div w:id="972489393">
          <w:marLeft w:val="0"/>
          <w:marRight w:val="0"/>
          <w:marTop w:val="0"/>
          <w:marBottom w:val="0"/>
          <w:divBdr>
            <w:top w:val="none" w:sz="0" w:space="0" w:color="auto"/>
            <w:left w:val="none" w:sz="0" w:space="0" w:color="auto"/>
            <w:bottom w:val="none" w:sz="0" w:space="0" w:color="auto"/>
            <w:right w:val="none" w:sz="0" w:space="0" w:color="auto"/>
          </w:divBdr>
          <w:divsChild>
            <w:div w:id="24264547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1219174180">
      <w:bodyDiv w:val="1"/>
      <w:marLeft w:val="0"/>
      <w:marRight w:val="0"/>
      <w:marTop w:val="0"/>
      <w:marBottom w:val="0"/>
      <w:divBdr>
        <w:top w:val="none" w:sz="0" w:space="0" w:color="auto"/>
        <w:left w:val="none" w:sz="0" w:space="0" w:color="auto"/>
        <w:bottom w:val="none" w:sz="0" w:space="0" w:color="auto"/>
        <w:right w:val="none" w:sz="0" w:space="0" w:color="auto"/>
      </w:divBdr>
      <w:divsChild>
        <w:div w:id="1267888525">
          <w:marLeft w:val="0"/>
          <w:marRight w:val="0"/>
          <w:marTop w:val="0"/>
          <w:marBottom w:val="0"/>
          <w:divBdr>
            <w:top w:val="none" w:sz="0" w:space="0" w:color="auto"/>
            <w:left w:val="none" w:sz="0" w:space="0" w:color="auto"/>
            <w:bottom w:val="none" w:sz="0" w:space="0" w:color="auto"/>
            <w:right w:val="none" w:sz="0" w:space="0" w:color="auto"/>
          </w:divBdr>
        </w:div>
      </w:divsChild>
    </w:div>
    <w:div w:id="1545437107">
      <w:bodyDiv w:val="1"/>
      <w:marLeft w:val="0"/>
      <w:marRight w:val="0"/>
      <w:marTop w:val="0"/>
      <w:marBottom w:val="0"/>
      <w:divBdr>
        <w:top w:val="none" w:sz="0" w:space="0" w:color="auto"/>
        <w:left w:val="none" w:sz="0" w:space="0" w:color="auto"/>
        <w:bottom w:val="none" w:sz="0" w:space="0" w:color="auto"/>
        <w:right w:val="none" w:sz="0" w:space="0" w:color="auto"/>
      </w:divBdr>
    </w:div>
    <w:div w:id="1593512209">
      <w:bodyDiv w:val="1"/>
      <w:marLeft w:val="0"/>
      <w:marRight w:val="0"/>
      <w:marTop w:val="0"/>
      <w:marBottom w:val="0"/>
      <w:divBdr>
        <w:top w:val="none" w:sz="0" w:space="0" w:color="auto"/>
        <w:left w:val="none" w:sz="0" w:space="0" w:color="auto"/>
        <w:bottom w:val="none" w:sz="0" w:space="0" w:color="auto"/>
        <w:right w:val="none" w:sz="0" w:space="0" w:color="auto"/>
      </w:divBdr>
    </w:div>
    <w:div w:id="2024700466">
      <w:bodyDiv w:val="1"/>
      <w:marLeft w:val="0"/>
      <w:marRight w:val="0"/>
      <w:marTop w:val="0"/>
      <w:marBottom w:val="0"/>
      <w:divBdr>
        <w:top w:val="none" w:sz="0" w:space="0" w:color="auto"/>
        <w:left w:val="none" w:sz="0" w:space="0" w:color="auto"/>
        <w:bottom w:val="none" w:sz="0" w:space="0" w:color="auto"/>
        <w:right w:val="none" w:sz="0" w:space="0" w:color="auto"/>
      </w:divBdr>
      <w:divsChild>
        <w:div w:id="237524466">
          <w:marLeft w:val="0"/>
          <w:marRight w:val="0"/>
          <w:marTop w:val="0"/>
          <w:marBottom w:val="0"/>
          <w:divBdr>
            <w:top w:val="none" w:sz="0" w:space="0" w:color="auto"/>
            <w:left w:val="none" w:sz="0" w:space="0" w:color="auto"/>
            <w:bottom w:val="none" w:sz="0" w:space="0" w:color="auto"/>
            <w:right w:val="none" w:sz="0" w:space="0" w:color="auto"/>
          </w:divBdr>
          <w:divsChild>
            <w:div w:id="700130381">
              <w:marLeft w:val="0"/>
              <w:marRight w:val="0"/>
              <w:marTop w:val="0"/>
              <w:marBottom w:val="300"/>
              <w:divBdr>
                <w:top w:val="single" w:sz="6" w:space="14" w:color="E3E3E3"/>
                <w:left w:val="single" w:sz="6" w:space="14" w:color="E3E3E3"/>
                <w:bottom w:val="single" w:sz="6" w:space="14" w:color="E3E3E3"/>
                <w:right w:val="single" w:sz="6" w:space="14" w:color="E3E3E3"/>
              </w:divBdr>
            </w:div>
            <w:div w:id="1500341902">
              <w:marLeft w:val="0"/>
              <w:marRight w:val="0"/>
              <w:marTop w:val="0"/>
              <w:marBottom w:val="0"/>
              <w:divBdr>
                <w:top w:val="none" w:sz="0" w:space="0" w:color="auto"/>
                <w:left w:val="none" w:sz="0" w:space="0" w:color="auto"/>
                <w:bottom w:val="none" w:sz="0" w:space="0" w:color="auto"/>
                <w:right w:val="none" w:sz="0" w:space="0" w:color="auto"/>
              </w:divBdr>
            </w:div>
          </w:divsChild>
        </w:div>
        <w:div w:id="1838837681">
          <w:marLeft w:val="0"/>
          <w:marRight w:val="0"/>
          <w:marTop w:val="0"/>
          <w:marBottom w:val="0"/>
          <w:divBdr>
            <w:top w:val="none" w:sz="0" w:space="0" w:color="auto"/>
            <w:left w:val="none" w:sz="0" w:space="0" w:color="auto"/>
            <w:bottom w:val="none" w:sz="0" w:space="0" w:color="auto"/>
            <w:right w:val="none" w:sz="0" w:space="0" w:color="auto"/>
          </w:divBdr>
          <w:divsChild>
            <w:div w:id="1501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programs/consultation-proposed-amendments-regulations-health-product-shortages.html" TargetMode="External"/><Relationship Id="rId13" Type="http://schemas.openxmlformats.org/officeDocument/2006/relationships/hyperlink" Target="https://ec.europa.eu/commission/presscorner/detail/en/ip_23_6377" TargetMode="External"/><Relationship Id="rId3" Type="http://schemas.openxmlformats.org/officeDocument/2006/relationships/settings" Target="settings.xml"/><Relationship Id="rId7" Type="http://schemas.openxmlformats.org/officeDocument/2006/relationships/hyperlink" Target="https://www.canada.ca/en/health-canada/services/drugs-health-products/drug-products/drug-shortages/regulations-guidance/critical-vulnerable-list.html" TargetMode="External"/><Relationship Id="rId12" Type="http://schemas.openxmlformats.org/officeDocument/2006/relationships/hyperlink" Target="https://sante.gouv.fr/actualites/actualites-du-ministere/article/gestion-des-penuries-publication-de-la-liste-des-medicaments-essentiels-po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canada.qualtrics.com/jfe/form/SV_cHHrXCBQJes7tsO?Q_Language=EN" TargetMode="External"/><Relationship Id="rId5" Type="http://schemas.openxmlformats.org/officeDocument/2006/relationships/footnotes" Target="footnotes.xml"/><Relationship Id="rId15" Type="http://schemas.openxmlformats.org/officeDocument/2006/relationships/hyperlink" Target="https://www.fda.gov/about-fda/reports/executive-order-13944-list-essential-medicines-medical-countermeasures-and-critical-inputs" TargetMode="External"/><Relationship Id="rId10" Type="http://schemas.openxmlformats.org/officeDocument/2006/relationships/hyperlink" Target="https://www.canada.ca/en/health-canada/services/drugs-health-products/drug-products/drug-shortages/regulations-guidance/guide-reporting-drug-demand-surge.html" TargetMode="External"/><Relationship Id="rId4" Type="http://schemas.openxmlformats.org/officeDocument/2006/relationships/webSettings" Target="webSettings.xml"/><Relationship Id="rId9" Type="http://schemas.openxmlformats.org/officeDocument/2006/relationships/hyperlink" Target="https://www.canada.ca/en/health-canada/services/drugs-health-products/drug-products/drug-shortages/regulations-guidance/guide-shortage-prevention-mitigation-plans.html" TargetMode="External"/><Relationship Id="rId14" Type="http://schemas.openxmlformats.org/officeDocument/2006/relationships/hyperlink" Target="https://www.legislation.gov.au/F2018L01679/latest/tex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1470</Words>
  <Characters>8381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4</cp:revision>
  <dcterms:created xsi:type="dcterms:W3CDTF">2025-01-13T09:01:00Z</dcterms:created>
  <dcterms:modified xsi:type="dcterms:W3CDTF">2025-01-16T08:18:00Z</dcterms:modified>
</cp:coreProperties>
</file>